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4"/>
        </w:rPr>
        <w:id w:val="1220480000"/>
        <w:docPartObj>
          <w:docPartGallery w:val="Cover Pages"/>
          <w:docPartUnique/>
        </w:docPartObj>
      </w:sdtPr>
      <w:sdtEndPr/>
      <w:sdtContent>
        <w:p w14:paraId="3C3EE445" w14:textId="77777777" w:rsidR="00A108B0" w:rsidRDefault="00A108B0">
          <w:pPr>
            <w:rPr>
              <w:sz w:val="24"/>
            </w:rPr>
          </w:pPr>
          <w:r w:rsidRPr="00A108B0">
            <w:rPr>
              <w:b/>
              <w:noProof/>
              <w:sz w:val="24"/>
            </w:rPr>
            <mc:AlternateContent>
              <mc:Choice Requires="wps">
                <w:drawing>
                  <wp:anchor distT="0" distB="0" distL="114300" distR="114300" simplePos="0" relativeHeight="251661312" behindDoc="0" locked="0" layoutInCell="1" allowOverlap="1" wp14:anchorId="7F49DE04" wp14:editId="4FD73551">
                    <wp:simplePos x="0" y="0"/>
                    <wp:positionH relativeFrom="column">
                      <wp:posOffset>-11430</wp:posOffset>
                    </wp:positionH>
                    <wp:positionV relativeFrom="paragraph">
                      <wp:posOffset>1428750</wp:posOffset>
                    </wp:positionV>
                    <wp:extent cx="6343650" cy="39624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343650" cy="39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003E52" w:themeColor="text2"/>
                                  </w:rPr>
                                  <w:alias w:val="Title"/>
                                  <w:tag w:val=""/>
                                  <w:id w:val="-1310780135"/>
                                  <w:dataBinding w:prefixMappings="xmlns:ns0='http://purl.org/dc/elements/1.1/' xmlns:ns1='http://schemas.openxmlformats.org/package/2006/metadata/core-properties' " w:xpath="/ns1:coreProperties[1]/ns0:title[1]" w:storeItemID="{6C3C8BC8-F283-45AE-878A-BAB7291924A1}"/>
                                  <w:text/>
                                </w:sdtPr>
                                <w:sdtEndPr/>
                                <w:sdtContent>
                                  <w:p w14:paraId="4F9A1EA0" w14:textId="77777777" w:rsidR="00A108B0" w:rsidRPr="009E6045" w:rsidRDefault="00B07C23" w:rsidP="009E6045">
                                    <w:pPr>
                                      <w:pStyle w:val="Heading1"/>
                                      <w:rPr>
                                        <w:b/>
                                        <w:color w:val="003E52" w:themeColor="text2"/>
                                      </w:rPr>
                                    </w:pPr>
                                    <w:r w:rsidRPr="009E6045">
                                      <w:rPr>
                                        <w:b/>
                                        <w:color w:val="003E52" w:themeColor="text2"/>
                                      </w:rPr>
                                      <w:t>Build-to-rent</w:t>
                                    </w:r>
                                  </w:p>
                                </w:sdtContent>
                              </w:sdt>
                              <w:sdt>
                                <w:sdtPr>
                                  <w:rPr>
                                    <w:color w:val="003E52" w:themeColor="text2"/>
                                  </w:rPr>
                                  <w:alias w:val="Subject"/>
                                  <w:tag w:val=""/>
                                  <w:id w:val="-1809622399"/>
                                  <w:dataBinding w:prefixMappings="xmlns:ns0='http://purl.org/dc/elements/1.1/' xmlns:ns1='http://schemas.openxmlformats.org/package/2006/metadata/core-properties' " w:xpath="/ns1:coreProperties[1]/ns0:subject[1]" w:storeItemID="{6C3C8BC8-F283-45AE-878A-BAB7291924A1}"/>
                                  <w:text/>
                                </w:sdtPr>
                                <w:sdtEndPr/>
                                <w:sdtContent>
                                  <w:p w14:paraId="6695C9C6" w14:textId="77777777" w:rsidR="0023023A" w:rsidRPr="00715FF3" w:rsidRDefault="00715FF3" w:rsidP="00EA5892">
                                    <w:pPr>
                                      <w:pStyle w:val="Heading1"/>
                                      <w:rPr>
                                        <w:color w:val="003E52" w:themeColor="text2"/>
                                        <w:sz w:val="56"/>
                                        <w:szCs w:val="56"/>
                                      </w:rPr>
                                    </w:pPr>
                                    <w:r w:rsidRPr="00715FF3">
                                      <w:rPr>
                                        <w:color w:val="003E52" w:themeColor="text2"/>
                                      </w:rPr>
                                      <w:t>Exclusion from interest limitation rules</w:t>
                                    </w:r>
                                  </w:p>
                                </w:sdtContent>
                              </w:sdt>
                              <w:sdt>
                                <w:sdtPr>
                                  <w:rPr>
                                    <w:color w:val="003E52" w:themeColor="text2"/>
                                    <w:sz w:val="56"/>
                                    <w:szCs w:val="56"/>
                                  </w:rPr>
                                  <w:alias w:val="Subject"/>
                                  <w:tag w:val=""/>
                                  <w:id w:val="-1216654993"/>
                                  <w:dataBinding w:prefixMappings="xmlns:ns0='http://purl.org/dc/elements/1.1/' xmlns:ns1='http://schemas.openxmlformats.org/package/2006/metadata/core-properties' " w:xpath="/ns1:coreProperties[1]/ns0:subject[1]" w:storeItemID="{6C3C8BC8-F283-45AE-878A-BAB7291924A1}"/>
                                  <w:text/>
                                </w:sdtPr>
                                <w:sdtEndPr/>
                                <w:sdtContent>
                                  <w:p w14:paraId="1B6A8F1E" w14:textId="77777777" w:rsidR="00A108B0" w:rsidRPr="009E6045" w:rsidRDefault="00DA201A" w:rsidP="009E6045">
                                    <w:pPr>
                                      <w:pStyle w:val="Heading1"/>
                                      <w:rPr>
                                        <w:color w:val="003E52" w:themeColor="text2"/>
                                      </w:rPr>
                                    </w:pPr>
                                    <w:r w:rsidRPr="009E6045">
                                      <w:rPr>
                                        <w:color w:val="003E52" w:themeColor="text2"/>
                                        <w:sz w:val="56"/>
                                        <w:szCs w:val="56"/>
                                        <w:lang w:val="en-NZ"/>
                                      </w:rPr>
                                      <w:t>Exclusion from interest limitation rules</w:t>
                                    </w:r>
                                  </w:p>
                                </w:sdtContent>
                              </w:sdt>
                              <w:p w14:paraId="620131BC" w14:textId="77777777" w:rsidR="00A108B0" w:rsidRPr="008D35D5" w:rsidRDefault="00E130C6" w:rsidP="00931AB7">
                                <w:pPr>
                                  <w:pStyle w:val="Subtitle"/>
                                  <w:rPr>
                                    <w:color w:val="003E52" w:themeColor="text2"/>
                                    <w:sz w:val="44"/>
                                    <w:szCs w:val="44"/>
                                  </w:rPr>
                                </w:pPr>
                                <w:sdt>
                                  <w:sdtPr>
                                    <w:rPr>
                                      <w:color w:val="003E52" w:themeColor="text2"/>
                                      <w:sz w:val="44"/>
                                      <w:szCs w:val="44"/>
                                    </w:rPr>
                                    <w:alias w:val="Keywords"/>
                                    <w:tag w:val=""/>
                                    <w:id w:val="1716855138"/>
                                    <w:dataBinding w:prefixMappings="xmlns:ns0='http://purl.org/dc/elements/1.1/' xmlns:ns1='http://schemas.openxmlformats.org/package/2006/metadata/core-properties' " w:xpath="/ns1:coreProperties[1]/ns1:keywords[1]" w:storeItemID="{6C3C8BC8-F283-45AE-878A-BAB7291924A1}"/>
                                    <w:text/>
                                  </w:sdtPr>
                                  <w:sdtEndPr/>
                                  <w:sdtContent>
                                    <w:r w:rsidR="00B07C23" w:rsidRPr="008D35D5">
                                      <w:rPr>
                                        <w:color w:val="003E52" w:themeColor="text2"/>
                                        <w:sz w:val="44"/>
                                        <w:szCs w:val="44"/>
                                      </w:rPr>
                                      <w:t xml:space="preserve">Guidance for </w:t>
                                    </w:r>
                                    <w:r w:rsidR="008D35D5" w:rsidRPr="008D35D5">
                                      <w:rPr>
                                        <w:color w:val="003E52" w:themeColor="text2"/>
                                        <w:sz w:val="44"/>
                                        <w:szCs w:val="44"/>
                                      </w:rPr>
                                      <w:t xml:space="preserve">build-to-rent </w:t>
                                    </w:r>
                                    <w:r w:rsidR="00B07C23" w:rsidRPr="008D35D5">
                                      <w:rPr>
                                        <w:color w:val="003E52" w:themeColor="text2"/>
                                        <w:sz w:val="44"/>
                                        <w:szCs w:val="44"/>
                                      </w:rPr>
                                      <w:t>tenants and providers</w:t>
                                    </w:r>
                                  </w:sdtContent>
                                </w:sdt>
                              </w:p>
                              <w:p w14:paraId="62DDF035" w14:textId="77777777" w:rsidR="006A335C" w:rsidRDefault="006A335C" w:rsidP="006A335C">
                                <w:pPr>
                                  <w:pStyle w:val="Date"/>
                                  <w:spacing w:after="0"/>
                                  <w:rPr>
                                    <w:color w:val="003E52" w:themeColor="text2"/>
                                  </w:rPr>
                                </w:pPr>
                              </w:p>
                              <w:p w14:paraId="77550535" w14:textId="77777777" w:rsidR="006A335C" w:rsidRDefault="006A335C" w:rsidP="006A335C">
                                <w:pPr>
                                  <w:pStyle w:val="Date"/>
                                  <w:spacing w:after="0"/>
                                  <w:rPr>
                                    <w:color w:val="003E52" w:themeColor="text2"/>
                                  </w:rPr>
                                </w:pPr>
                              </w:p>
                              <w:p w14:paraId="13B5A7EF" w14:textId="77777777" w:rsidR="00A108B0" w:rsidRPr="00281703" w:rsidRDefault="00E130C6" w:rsidP="00931AB7">
                                <w:pPr>
                                  <w:pStyle w:val="Date"/>
                                  <w:rPr>
                                    <w:color w:val="003E52" w:themeColor="text2"/>
                                  </w:rPr>
                                </w:pPr>
                                <w:sdt>
                                  <w:sdtPr>
                                    <w:rPr>
                                      <w:color w:val="003E52" w:themeColor="text2"/>
                                    </w:rPr>
                                    <w:alias w:val="Publish Date"/>
                                    <w:tag w:val=""/>
                                    <w:id w:val="-19626169"/>
                                    <w:showingPlcHdr/>
                                    <w:dataBinding w:prefixMappings="xmlns:ns0='http://schemas.microsoft.com/office/2006/coverPageProps' " w:xpath="/ns0:CoverPageProperties[1]/ns0:PublishDate[1]" w:storeItemID="{55AF091B-3C7A-41E3-B477-F2FDAA23CFDA}"/>
                                    <w:date>
                                      <w:lid w:val="en-NZ"/>
                                      <w:storeMappedDataAs w:val="dateTime"/>
                                      <w:calendar w:val="gregorian"/>
                                    </w:date>
                                  </w:sdtPr>
                                  <w:sdtEndPr/>
                                  <w:sdtContent>
                                    <w:r w:rsidR="00A108B0" w:rsidRPr="00281703">
                                      <w:rPr>
                                        <w:rStyle w:val="PlaceholderText"/>
                                        <w:color w:val="003E52" w:themeColor="text2"/>
                                      </w:rPr>
                                      <w:t>[Publish Date]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49DE04" id="_x0000_t202" coordsize="21600,21600" o:spt="202" path="m,l,21600r21600,l21600,xe">
                    <v:stroke joinstyle="miter"/>
                    <v:path gradientshapeok="t" o:connecttype="rect"/>
                  </v:shapetype>
                  <v:shape id="Text Box 21" o:spid="_x0000_s1026" type="#_x0000_t202" style="position:absolute;margin-left:-.9pt;margin-top:112.5pt;width:499.5pt;height:3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" filled="f" stroked="f" strokeweight=".5pt">
                    <v:textbox>
                      <w:txbxContent>
                        <w:sdt>
                          <w:sdtPr>
                            <w:rPr>
                              <w:b/>
                              <w:color w:val="003E52" w:themeColor="text2"/>
                            </w:rPr>
                            <w:alias w:val="Title"/>
                            <w:tag w:val=""/>
                            <w:id w:val="-1310780135"/>
                            <w:dataBinding w:prefixMappings="xmlns:ns0='http://purl.org/dc/elements/1.1/' xmlns:ns1='http://schemas.openxmlformats.org/package/2006/metadata/core-properties' " w:xpath="/ns1:coreProperties[1]/ns0:title[1]" w:storeItemID="{6C3C8BC8-F283-45AE-878A-BAB7291924A1}"/>
                            <w:text/>
                          </w:sdtPr>
                          <w:sdtEndPr/>
                          <w:sdtContent>
                            <w:p w14:paraId="4F9A1EA0" w14:textId="77777777" w:rsidR="00A108B0" w:rsidRPr="009E6045" w:rsidRDefault="00B07C23" w:rsidP="009E6045">
                              <w:pPr>
                                <w:pStyle w:val="Heading1"/>
                                <w:rPr>
                                  <w:b/>
                                  <w:color w:val="003E52" w:themeColor="text2"/>
                                </w:rPr>
                              </w:pPr>
                              <w:r w:rsidRPr="009E6045">
                                <w:rPr>
                                  <w:b/>
                                  <w:color w:val="003E52" w:themeColor="text2"/>
                                </w:rPr>
                                <w:t>Build-to-rent</w:t>
                              </w:r>
                            </w:p>
                          </w:sdtContent>
                        </w:sdt>
                        <w:sdt>
                          <w:sdtPr>
                            <w:rPr>
                              <w:color w:val="003E52" w:themeColor="text2"/>
                            </w:rPr>
                            <w:alias w:val="Subject"/>
                            <w:tag w:val=""/>
                            <w:id w:val="-1809622399"/>
                            <w:dataBinding w:prefixMappings="xmlns:ns0='http://purl.org/dc/elements/1.1/' xmlns:ns1='http://schemas.openxmlformats.org/package/2006/metadata/core-properties' " w:xpath="/ns1:coreProperties[1]/ns0:subject[1]" w:storeItemID="{6C3C8BC8-F283-45AE-878A-BAB7291924A1}"/>
                            <w:text/>
                          </w:sdtPr>
                          <w:sdtEndPr/>
                          <w:sdtContent>
                            <w:p w14:paraId="6695C9C6" w14:textId="77777777" w:rsidR="0023023A" w:rsidRPr="00715FF3" w:rsidRDefault="00715FF3" w:rsidP="00EA5892">
                              <w:pPr>
                                <w:pStyle w:val="Heading1"/>
                                <w:rPr>
                                  <w:color w:val="003E52" w:themeColor="text2"/>
                                  <w:sz w:val="56"/>
                                  <w:szCs w:val="56"/>
                                </w:rPr>
                              </w:pPr>
                              <w:r w:rsidRPr="00715FF3">
                                <w:rPr>
                                  <w:color w:val="003E52" w:themeColor="text2"/>
                                </w:rPr>
                                <w:t>Exclusion from interest limitation rules</w:t>
                              </w:r>
                            </w:p>
                          </w:sdtContent>
                        </w:sdt>
                        <w:sdt>
                          <w:sdtPr>
                            <w:rPr>
                              <w:color w:val="003E52" w:themeColor="text2"/>
                              <w:sz w:val="56"/>
                              <w:szCs w:val="56"/>
                            </w:rPr>
                            <w:alias w:val="Subject"/>
                            <w:tag w:val=""/>
                            <w:id w:val="-1216654993"/>
                            <w:dataBinding w:prefixMappings="xmlns:ns0='http://purl.org/dc/elements/1.1/' xmlns:ns1='http://schemas.openxmlformats.org/package/2006/metadata/core-properties' " w:xpath="/ns1:coreProperties[1]/ns0:subject[1]" w:storeItemID="{6C3C8BC8-F283-45AE-878A-BAB7291924A1}"/>
                            <w:text/>
                          </w:sdtPr>
                          <w:sdtEndPr/>
                          <w:sdtContent>
                            <w:p w14:paraId="1B6A8F1E" w14:textId="77777777" w:rsidR="00A108B0" w:rsidRPr="009E6045" w:rsidRDefault="00DA201A" w:rsidP="009E6045">
                              <w:pPr>
                                <w:pStyle w:val="Heading1"/>
                                <w:rPr>
                                  <w:color w:val="003E52" w:themeColor="text2"/>
                                </w:rPr>
                              </w:pPr>
                              <w:r w:rsidRPr="009E6045">
                                <w:rPr>
                                  <w:color w:val="003E52" w:themeColor="text2"/>
                                  <w:sz w:val="56"/>
                                  <w:szCs w:val="56"/>
                                  <w:lang w:val="en-NZ"/>
                                </w:rPr>
                                <w:t>Exclusion from interest limitation rules</w:t>
                              </w:r>
                            </w:p>
                          </w:sdtContent>
                        </w:sdt>
                        <w:p w14:paraId="620131BC" w14:textId="77777777" w:rsidR="00A108B0" w:rsidRPr="008D35D5" w:rsidRDefault="00E130C6" w:rsidP="00931AB7">
                          <w:pPr>
                            <w:pStyle w:val="Subtitle"/>
                            <w:rPr>
                              <w:color w:val="003E52" w:themeColor="text2"/>
                              <w:sz w:val="44"/>
                              <w:szCs w:val="44"/>
                            </w:rPr>
                          </w:pPr>
                          <w:sdt>
                            <w:sdtPr>
                              <w:rPr>
                                <w:color w:val="003E52" w:themeColor="text2"/>
                                <w:sz w:val="44"/>
                                <w:szCs w:val="44"/>
                              </w:rPr>
                              <w:alias w:val="Keywords"/>
                              <w:tag w:val=""/>
                              <w:id w:val="1716855138"/>
                              <w:dataBinding w:prefixMappings="xmlns:ns0='http://purl.org/dc/elements/1.1/' xmlns:ns1='http://schemas.openxmlformats.org/package/2006/metadata/core-properties' " w:xpath="/ns1:coreProperties[1]/ns1:keywords[1]" w:storeItemID="{6C3C8BC8-F283-45AE-878A-BAB7291924A1}"/>
                              <w:text/>
                            </w:sdtPr>
                            <w:sdtEndPr/>
                            <w:sdtContent>
                              <w:r w:rsidR="00B07C23" w:rsidRPr="008D35D5">
                                <w:rPr>
                                  <w:color w:val="003E52" w:themeColor="text2"/>
                                  <w:sz w:val="44"/>
                                  <w:szCs w:val="44"/>
                                </w:rPr>
                                <w:t xml:space="preserve">Guidance for </w:t>
                              </w:r>
                              <w:r w:rsidR="008D35D5" w:rsidRPr="008D35D5">
                                <w:rPr>
                                  <w:color w:val="003E52" w:themeColor="text2"/>
                                  <w:sz w:val="44"/>
                                  <w:szCs w:val="44"/>
                                </w:rPr>
                                <w:t xml:space="preserve">build-to-rent </w:t>
                              </w:r>
                              <w:r w:rsidR="00B07C23" w:rsidRPr="008D35D5">
                                <w:rPr>
                                  <w:color w:val="003E52" w:themeColor="text2"/>
                                  <w:sz w:val="44"/>
                                  <w:szCs w:val="44"/>
                                </w:rPr>
                                <w:t>tenants and providers</w:t>
                              </w:r>
                            </w:sdtContent>
                          </w:sdt>
                        </w:p>
                        <w:p w14:paraId="62DDF035" w14:textId="77777777" w:rsidR="006A335C" w:rsidRDefault="006A335C" w:rsidP="006A335C">
                          <w:pPr>
                            <w:pStyle w:val="Date"/>
                            <w:spacing w:after="0"/>
                            <w:rPr>
                              <w:color w:val="003E52" w:themeColor="text2"/>
                            </w:rPr>
                          </w:pPr>
                        </w:p>
                        <w:p w14:paraId="77550535" w14:textId="77777777" w:rsidR="006A335C" w:rsidRDefault="006A335C" w:rsidP="006A335C">
                          <w:pPr>
                            <w:pStyle w:val="Date"/>
                            <w:spacing w:after="0"/>
                            <w:rPr>
                              <w:color w:val="003E52" w:themeColor="text2"/>
                            </w:rPr>
                          </w:pPr>
                        </w:p>
                        <w:p w14:paraId="13B5A7EF" w14:textId="77777777" w:rsidR="00A108B0" w:rsidRPr="00281703" w:rsidRDefault="00E130C6" w:rsidP="00931AB7">
                          <w:pPr>
                            <w:pStyle w:val="Date"/>
                            <w:rPr>
                              <w:color w:val="003E52" w:themeColor="text2"/>
                            </w:rPr>
                          </w:pPr>
                          <w:sdt>
                            <w:sdtPr>
                              <w:rPr>
                                <w:color w:val="003E52" w:themeColor="text2"/>
                              </w:rPr>
                              <w:alias w:val="Publish Date"/>
                              <w:tag w:val=""/>
                              <w:id w:val="-19626169"/>
                              <w:showingPlcHdr/>
                              <w:dataBinding w:prefixMappings="xmlns:ns0='http://schemas.microsoft.com/office/2006/coverPageProps' " w:xpath="/ns0:CoverPageProperties[1]/ns0:PublishDate[1]" w:storeItemID="{55AF091B-3C7A-41E3-B477-F2FDAA23CFDA}"/>
                              <w:date>
                                <w:lid w:val="en-NZ"/>
                                <w:storeMappedDataAs w:val="dateTime"/>
                                <w:calendar w:val="gregorian"/>
                              </w:date>
                            </w:sdtPr>
                            <w:sdtEndPr/>
                            <w:sdtContent>
                              <w:r w:rsidR="00A108B0" w:rsidRPr="00281703">
                                <w:rPr>
                                  <w:rStyle w:val="PlaceholderText"/>
                                  <w:color w:val="003E52" w:themeColor="text2"/>
                                </w:rPr>
                                <w:t>[Publish Date]</w:t>
                              </w:r>
                            </w:sdtContent>
                          </w:sdt>
                        </w:p>
                      </w:txbxContent>
                    </v:textbox>
                  </v:shape>
                </w:pict>
              </mc:Fallback>
            </mc:AlternateContent>
          </w:r>
          <w:r w:rsidRPr="00A108B0">
            <w:rPr>
              <w:b/>
              <w:noProof/>
              <w:sz w:val="24"/>
            </w:rPr>
            <w:drawing>
              <wp:anchor distT="0" distB="0" distL="114300" distR="114300" simplePos="0" relativeHeight="251660288" behindDoc="0" locked="0" layoutInCell="1" allowOverlap="1" wp14:anchorId="0E2533A1" wp14:editId="443A5ABD">
                <wp:simplePos x="0" y="0"/>
                <wp:positionH relativeFrom="column">
                  <wp:posOffset>27608</wp:posOffset>
                </wp:positionH>
                <wp:positionV relativeFrom="paragraph">
                  <wp:posOffset>-546100</wp:posOffset>
                </wp:positionV>
                <wp:extent cx="2552065" cy="63754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White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2065" cy="637540"/>
                        </a:xfrm>
                        <a:prstGeom prst="rect">
                          <a:avLst/>
                        </a:prstGeom>
                      </pic:spPr>
                    </pic:pic>
                  </a:graphicData>
                </a:graphic>
                <wp14:sizeRelH relativeFrom="margin">
                  <wp14:pctWidth>0</wp14:pctWidth>
                </wp14:sizeRelH>
                <wp14:sizeRelV relativeFrom="margin">
                  <wp14:pctHeight>0</wp14:pctHeight>
                </wp14:sizeRelV>
              </wp:anchor>
            </w:drawing>
          </w:r>
          <w:r w:rsidRPr="00A108B0">
            <w:rPr>
              <w:b/>
              <w:noProof/>
              <w:sz w:val="24"/>
            </w:rPr>
            <w:drawing>
              <wp:anchor distT="0" distB="0" distL="114300" distR="114300" simplePos="0" relativeHeight="251659264" behindDoc="0" locked="0" layoutInCell="1" allowOverlap="1" wp14:anchorId="0DB7E7CB" wp14:editId="63441622">
                <wp:simplePos x="0" y="0"/>
                <wp:positionH relativeFrom="page">
                  <wp:align>center</wp:align>
                </wp:positionH>
                <wp:positionV relativeFrom="page">
                  <wp:align>bottom</wp:align>
                </wp:positionV>
                <wp:extent cx="7552806" cy="4726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Blue Cover Foot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2806" cy="4726800"/>
                        </a:xfrm>
                        <a:prstGeom prst="rect">
                          <a:avLst/>
                        </a:prstGeom>
                      </pic:spPr>
                    </pic:pic>
                  </a:graphicData>
                </a:graphic>
                <wp14:sizeRelH relativeFrom="margin">
                  <wp14:pctWidth>0</wp14:pctWidth>
                </wp14:sizeRelH>
                <wp14:sizeRelV relativeFrom="margin">
                  <wp14:pctHeight>0</wp14:pctHeight>
                </wp14:sizeRelV>
              </wp:anchor>
            </w:drawing>
          </w:r>
          <w:r w:rsidRPr="00A108B0">
            <w:rPr>
              <w:b/>
              <w:noProof/>
              <w:sz w:val="24"/>
            </w:rPr>
            <mc:AlternateContent>
              <mc:Choice Requires="wps">
                <w:drawing>
                  <wp:anchor distT="0" distB="0" distL="114300" distR="114300" simplePos="0" relativeHeight="251662336" behindDoc="1" locked="0" layoutInCell="1" allowOverlap="1" wp14:anchorId="461209D1" wp14:editId="3D0F6D3E">
                    <wp:simplePos x="0" y="0"/>
                    <wp:positionH relativeFrom="page">
                      <wp:align>center</wp:align>
                    </wp:positionH>
                    <wp:positionV relativeFrom="page">
                      <wp:align>center</wp:align>
                    </wp:positionV>
                    <wp:extent cx="7560000" cy="10692000"/>
                    <wp:effectExtent l="0" t="0" r="3175" b="0"/>
                    <wp:wrapNone/>
                    <wp:docPr id="22" name="Rectangle 22"/>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66721" id="Rectangle 22" o:spid="_x0000_s1026" style="position:absolute;margin-left:0;margin-top:0;width:595.3pt;height:841.9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mc:Fallback>
            </mc:AlternateContent>
          </w:r>
          <w:r>
            <w:rPr>
              <w:b/>
              <w:sz w:val="24"/>
            </w:rPr>
            <w:br w:type="page"/>
          </w:r>
        </w:p>
      </w:sdtContent>
    </w:sdt>
    <w:p w14:paraId="53C807E7" w14:textId="77777777" w:rsidR="00C216AA" w:rsidRDefault="00ED5B86" w:rsidP="00C216AA">
      <w:pPr>
        <w:pStyle w:val="HUDTitle"/>
      </w:pPr>
      <w:r>
        <w:lastRenderedPageBreak/>
        <w:t>Build-to-rent exclusion from interest limitation rules</w:t>
      </w:r>
    </w:p>
    <w:p w14:paraId="3BE404C8" w14:textId="77777777" w:rsidR="006A335C" w:rsidRDefault="00931AB7" w:rsidP="00931AB7">
      <w:pPr>
        <w:pStyle w:val="HUDSubheading"/>
      </w:pPr>
      <w:r>
        <w:rPr>
          <w:noProof/>
        </w:rPr>
        <mc:AlternateContent>
          <mc:Choice Requires="wps">
            <w:drawing>
              <wp:anchor distT="45720" distB="45720" distL="114300" distR="114300" simplePos="0" relativeHeight="251666432" behindDoc="0" locked="0" layoutInCell="1" allowOverlap="1" wp14:anchorId="13DEC6F5" wp14:editId="648359E7">
                <wp:simplePos x="0" y="0"/>
                <wp:positionH relativeFrom="margin">
                  <wp:align>right</wp:align>
                </wp:positionH>
                <wp:positionV relativeFrom="paragraph">
                  <wp:posOffset>683260</wp:posOffset>
                </wp:positionV>
                <wp:extent cx="6276975" cy="2241550"/>
                <wp:effectExtent l="19050" t="1905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241550"/>
                        </a:xfrm>
                        <a:prstGeom prst="rect">
                          <a:avLst/>
                        </a:prstGeom>
                        <a:solidFill>
                          <a:srgbClr val="FFFFFF"/>
                        </a:solidFill>
                        <a:ln w="28575">
                          <a:solidFill>
                            <a:schemeClr val="accent1">
                              <a:lumMod val="50000"/>
                            </a:schemeClr>
                          </a:solidFill>
                          <a:miter lim="800000"/>
                          <a:headEnd/>
                          <a:tailEnd/>
                        </a:ln>
                      </wps:spPr>
                      <wps:txbx>
                        <w:txbxContent>
                          <w:p w14:paraId="610A0E50" w14:textId="77777777" w:rsidR="003F0E26" w:rsidRPr="003F0E26" w:rsidRDefault="003F0E26" w:rsidP="003F0E26">
                            <w:r w:rsidRPr="003F0E26">
                              <w:t xml:space="preserve">Build-to-rent </w:t>
                            </w:r>
                            <w:r w:rsidR="00FB5BA2">
                              <w:t>land is</w:t>
                            </w:r>
                            <w:r w:rsidRPr="003F0E26">
                              <w:t xml:space="preserve"> excluded in perpetuity from </w:t>
                            </w:r>
                            <w:r w:rsidR="00FB5BA2">
                              <w:t xml:space="preserve">the </w:t>
                            </w:r>
                            <w:r w:rsidRPr="003F0E26">
                              <w:t>property interest limitation rules that took effect 1 October 2021. The intent of th</w:t>
                            </w:r>
                            <w:r w:rsidR="003B74A3">
                              <w:t>is</w:t>
                            </w:r>
                            <w:r w:rsidRPr="003F0E26">
                              <w:t xml:space="preserve"> exclusion is to ensure interest limitation rules do not disincentivise investment in build-to-rent developments.</w:t>
                            </w:r>
                          </w:p>
                          <w:p w14:paraId="59D3F1FF" w14:textId="77777777" w:rsidR="003F0E26" w:rsidRPr="003F0E26" w:rsidRDefault="003F0E26" w:rsidP="003F0E26">
                            <w:r w:rsidRPr="003F0E26">
                              <w:t>The exclusion applies to new and existing developments</w:t>
                            </w:r>
                            <w:r w:rsidR="00B32289">
                              <w:t xml:space="preserve"> on registered build-to-rent land</w:t>
                            </w:r>
                            <w:r w:rsidRPr="003F0E26">
                              <w:t xml:space="preserve">. Initial investors </w:t>
                            </w:r>
                            <w:r w:rsidR="006A335C">
                              <w:t>can</w:t>
                            </w:r>
                            <w:r w:rsidRPr="003F0E26">
                              <w:t xml:space="preserve"> deduct interest for as long as they hold the land and operate it as build-to-rent. Any subsequent investor(s) can deduct interest for as long as the land continue</w:t>
                            </w:r>
                            <w:r w:rsidR="00EB6AB9">
                              <w:t>s</w:t>
                            </w:r>
                            <w:r w:rsidRPr="003F0E26">
                              <w:t xml:space="preserve"> to qualify for the exclusion.</w:t>
                            </w:r>
                          </w:p>
                          <w:p w14:paraId="32F7A2CC" w14:textId="77777777" w:rsidR="003F0E26" w:rsidRPr="003F0E26" w:rsidRDefault="0055122A" w:rsidP="003F0E26">
                            <w:r>
                              <w:t>I</w:t>
                            </w:r>
                            <w:r w:rsidR="003F0E26" w:rsidRPr="003F0E26">
                              <w:t xml:space="preserve">nterest </w:t>
                            </w:r>
                            <w:r w:rsidR="00A12C27">
                              <w:t xml:space="preserve">deductions </w:t>
                            </w:r>
                            <w:r w:rsidR="003F0E26" w:rsidRPr="003F0E26">
                              <w:t>will not be phased out</w:t>
                            </w:r>
                            <w:r>
                              <w:t xml:space="preserve"> for existing build-to-rent developments, as per the interest limitation rules</w:t>
                            </w:r>
                            <w:r w:rsidR="003F0E26" w:rsidRPr="003F0E26">
                              <w:t xml:space="preserve">. Taxpayers who hold existing </w:t>
                            </w:r>
                            <w:r w:rsidR="00FB5BA2">
                              <w:t xml:space="preserve">developments </w:t>
                            </w:r>
                            <w:r w:rsidR="003F0E26" w:rsidRPr="003F0E26">
                              <w:t>will have until 1 July 2023 to meet the build-to-rent land requirements to be eligible for the exclusion</w:t>
                            </w:r>
                            <w:r w:rsidR="00120EB1">
                              <w:t xml:space="preserve"> and to apply</w:t>
                            </w:r>
                            <w:r w:rsidR="008C625D">
                              <w:t xml:space="preserve"> for registration.</w:t>
                            </w:r>
                          </w:p>
                          <w:p w14:paraId="612D39CF" w14:textId="77777777" w:rsidR="003F0E26" w:rsidRDefault="003F0E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EC6F5" id="Text Box 2" o:spid="_x0000_s1027" type="#_x0000_t202" style="position:absolute;margin-left:443.05pt;margin-top:53.8pt;width:494.25pt;height:17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" strokecolor="#0c5f9d [1604]" strokeweight="2.25pt">
                <v:textbox>
                  <w:txbxContent>
                    <w:p w14:paraId="610A0E50" w14:textId="77777777" w:rsidR="003F0E26" w:rsidRPr="003F0E26" w:rsidRDefault="003F0E26" w:rsidP="003F0E26">
                      <w:r w:rsidRPr="003F0E26">
                        <w:t xml:space="preserve">Build-to-rent </w:t>
                      </w:r>
                      <w:r w:rsidR="00FB5BA2">
                        <w:t>land is</w:t>
                      </w:r>
                      <w:r w:rsidRPr="003F0E26">
                        <w:t xml:space="preserve"> excluded in perpetuity from </w:t>
                      </w:r>
                      <w:r w:rsidR="00FB5BA2">
                        <w:t xml:space="preserve">the </w:t>
                      </w:r>
                      <w:r w:rsidRPr="003F0E26">
                        <w:t>property interest limitation rules that took effect 1 October 2021. The intent of th</w:t>
                      </w:r>
                      <w:r w:rsidR="003B74A3">
                        <w:t>is</w:t>
                      </w:r>
                      <w:r w:rsidRPr="003F0E26">
                        <w:t xml:space="preserve"> exclusion is to ensure interest limitation rules do not disincentivise investment in build-to-rent developments.</w:t>
                      </w:r>
                    </w:p>
                    <w:p w14:paraId="59D3F1FF" w14:textId="77777777" w:rsidR="003F0E26" w:rsidRPr="003F0E26" w:rsidRDefault="003F0E26" w:rsidP="003F0E26">
                      <w:r w:rsidRPr="003F0E26">
                        <w:t>The exclusion applies to new and existing developments</w:t>
                      </w:r>
                      <w:r w:rsidR="00B32289">
                        <w:t xml:space="preserve"> on registered build-to-rent land</w:t>
                      </w:r>
                      <w:r w:rsidRPr="003F0E26">
                        <w:t xml:space="preserve">. Initial investors </w:t>
                      </w:r>
                      <w:r w:rsidR="006A335C">
                        <w:t>can</w:t>
                      </w:r>
                      <w:r w:rsidRPr="003F0E26">
                        <w:t xml:space="preserve"> deduct interest for as long as they hold the land and operate it as build-to-rent. Any subsequent investor(s) can deduct interest for as long as the land continue</w:t>
                      </w:r>
                      <w:r w:rsidR="00EB6AB9">
                        <w:t>s</w:t>
                      </w:r>
                      <w:r w:rsidRPr="003F0E26">
                        <w:t xml:space="preserve"> to qualify for the exclusion.</w:t>
                      </w:r>
                    </w:p>
                    <w:p w14:paraId="32F7A2CC" w14:textId="77777777" w:rsidR="003F0E26" w:rsidRPr="003F0E26" w:rsidRDefault="0055122A" w:rsidP="003F0E26">
                      <w:r>
                        <w:t>I</w:t>
                      </w:r>
                      <w:r w:rsidR="003F0E26" w:rsidRPr="003F0E26">
                        <w:t xml:space="preserve">nterest </w:t>
                      </w:r>
                      <w:r w:rsidR="00A12C27">
                        <w:t xml:space="preserve">deductions </w:t>
                      </w:r>
                      <w:r w:rsidR="003F0E26" w:rsidRPr="003F0E26">
                        <w:t>will not be phased out</w:t>
                      </w:r>
                      <w:r>
                        <w:t xml:space="preserve"> for existing build-to-rent developments, as per the interest limitation rules</w:t>
                      </w:r>
                      <w:r w:rsidR="003F0E26" w:rsidRPr="003F0E26">
                        <w:t xml:space="preserve">. Taxpayers who hold existing </w:t>
                      </w:r>
                      <w:r w:rsidR="00FB5BA2">
                        <w:t xml:space="preserve">developments </w:t>
                      </w:r>
                      <w:r w:rsidR="003F0E26" w:rsidRPr="003F0E26">
                        <w:t>will have until 1 July 2023 to meet the build-to-rent land requirements to be eligible for the exclusion</w:t>
                      </w:r>
                      <w:r w:rsidR="00120EB1">
                        <w:t xml:space="preserve"> and to apply</w:t>
                      </w:r>
                      <w:r w:rsidR="008C625D">
                        <w:t xml:space="preserve"> for registration.</w:t>
                      </w:r>
                    </w:p>
                    <w:p w14:paraId="612D39CF" w14:textId="77777777" w:rsidR="003F0E26" w:rsidRDefault="003F0E26"/>
                  </w:txbxContent>
                </v:textbox>
                <w10:wrap type="square" anchorx="margin"/>
              </v:shape>
            </w:pict>
          </mc:Fallback>
        </mc:AlternateContent>
      </w:r>
      <w:r>
        <w:t>This guidance is for current and prospective build-to-rent tenants and providers, and people who may be interested in the build-to-rent in-perpetuity exclusion from interest limitation rules.</w:t>
      </w:r>
      <w:r w:rsidR="006A335C">
        <w:t xml:space="preserve"> </w:t>
      </w:r>
    </w:p>
    <w:p w14:paraId="35983AA8" w14:textId="77777777" w:rsidR="003F0E26" w:rsidRDefault="003F0E26" w:rsidP="004B49E1">
      <w:pPr>
        <w:pStyle w:val="HUDBody"/>
        <w:sectPr w:rsidR="003F0E26" w:rsidSect="00A108B0">
          <w:footerReference w:type="even" r:id="rId15"/>
          <w:footerReference w:type="default" r:id="rId16"/>
          <w:footerReference w:type="first" r:id="rId17"/>
          <w:pgSz w:w="11906" w:h="16838"/>
          <w:pgMar w:top="1440" w:right="991" w:bottom="851" w:left="993" w:header="708" w:footer="454" w:gutter="0"/>
          <w:pgNumType w:start="0"/>
          <w:cols w:space="708"/>
          <w:titlePg/>
          <w:docGrid w:linePitch="360"/>
        </w:sectPr>
      </w:pPr>
    </w:p>
    <w:p w14:paraId="2C0F1C3E" w14:textId="77777777" w:rsidR="00805DE8" w:rsidRPr="00445458" w:rsidRDefault="00805DE8" w:rsidP="00FD6CE4">
      <w:pPr>
        <w:pStyle w:val="HUDSubheading"/>
        <w:rPr>
          <w:color w:val="0C609E" w:themeColor="accent1" w:themeShade="80"/>
          <w:sz w:val="22"/>
        </w:rPr>
      </w:pPr>
      <w:r w:rsidRPr="00445458">
        <w:rPr>
          <w:color w:val="0C609E" w:themeColor="accent1" w:themeShade="80"/>
          <w:sz w:val="22"/>
        </w:rPr>
        <w:t>What is build-to-rent</w:t>
      </w:r>
      <w:r w:rsidR="00FD6CE4" w:rsidRPr="00445458">
        <w:rPr>
          <w:color w:val="0C609E" w:themeColor="accent1" w:themeShade="80"/>
          <w:sz w:val="22"/>
        </w:rPr>
        <w:t>?</w:t>
      </w:r>
    </w:p>
    <w:p w14:paraId="5ABB4EDD" w14:textId="77777777" w:rsidR="00805DE8" w:rsidRPr="002767CB" w:rsidRDefault="00FD6CE4" w:rsidP="004B49E1">
      <w:pPr>
        <w:pStyle w:val="HUDBody"/>
        <w:rPr>
          <w:sz w:val="22"/>
          <w:szCs w:val="22"/>
        </w:rPr>
      </w:pPr>
      <w:r w:rsidRPr="002767CB">
        <w:rPr>
          <w:sz w:val="22"/>
          <w:szCs w:val="22"/>
        </w:rPr>
        <w:t xml:space="preserve">Build-to-rent is a type of </w:t>
      </w:r>
      <w:r w:rsidR="006A335C">
        <w:rPr>
          <w:sz w:val="22"/>
          <w:szCs w:val="22"/>
        </w:rPr>
        <w:t>housing (</w:t>
      </w:r>
      <w:r w:rsidRPr="002767CB">
        <w:rPr>
          <w:sz w:val="22"/>
          <w:szCs w:val="22"/>
        </w:rPr>
        <w:t>medium to high-density</w:t>
      </w:r>
      <w:r w:rsidR="006A335C">
        <w:rPr>
          <w:sz w:val="22"/>
          <w:szCs w:val="22"/>
        </w:rPr>
        <w:t>)</w:t>
      </w:r>
      <w:r w:rsidRPr="002767CB">
        <w:rPr>
          <w:sz w:val="22"/>
          <w:szCs w:val="22"/>
        </w:rPr>
        <w:t xml:space="preserve"> specifically built to provide long-term rental housing. Build-to-rent includes the development and long-term management of a multi-unit rental property by institutional investors and developers, often financed by institutional capital (including iwi, pension funds and retail funds) over a 50-year timeframe.</w:t>
      </w:r>
    </w:p>
    <w:p w14:paraId="5ECD540B" w14:textId="77777777" w:rsidR="00FD6CE4" w:rsidRPr="002767CB" w:rsidRDefault="006A335C" w:rsidP="004B49E1">
      <w:pPr>
        <w:pStyle w:val="HUDBody"/>
        <w:rPr>
          <w:sz w:val="22"/>
          <w:szCs w:val="22"/>
        </w:rPr>
      </w:pPr>
      <w:r>
        <w:rPr>
          <w:sz w:val="22"/>
          <w:szCs w:val="22"/>
        </w:rPr>
        <w:t>The benefits of b</w:t>
      </w:r>
      <w:r w:rsidR="00FD6CE4" w:rsidRPr="002767CB">
        <w:rPr>
          <w:sz w:val="22"/>
          <w:szCs w:val="22"/>
        </w:rPr>
        <w:t xml:space="preserve">uild-to-rent </w:t>
      </w:r>
      <w:r>
        <w:rPr>
          <w:sz w:val="22"/>
          <w:szCs w:val="22"/>
        </w:rPr>
        <w:t>housing</w:t>
      </w:r>
      <w:r w:rsidR="00FD6CE4" w:rsidRPr="002767CB">
        <w:rPr>
          <w:sz w:val="22"/>
          <w:szCs w:val="22"/>
        </w:rPr>
        <w:t xml:space="preserve"> include </w:t>
      </w:r>
      <w:r>
        <w:rPr>
          <w:sz w:val="22"/>
          <w:szCs w:val="22"/>
        </w:rPr>
        <w:t xml:space="preserve">creating </w:t>
      </w:r>
      <w:r w:rsidR="00FD6CE4" w:rsidRPr="002767CB">
        <w:rPr>
          <w:sz w:val="22"/>
          <w:szCs w:val="22"/>
        </w:rPr>
        <w:t>dedicated rental supply</w:t>
      </w:r>
      <w:r w:rsidR="00A12C27">
        <w:rPr>
          <w:sz w:val="22"/>
          <w:szCs w:val="22"/>
        </w:rPr>
        <w:t xml:space="preserve"> (particularly</w:t>
      </w:r>
      <w:r w:rsidR="00FD6CE4" w:rsidRPr="002767CB">
        <w:rPr>
          <w:sz w:val="22"/>
          <w:szCs w:val="22"/>
        </w:rPr>
        <w:t xml:space="preserve"> the most-needed typologies</w:t>
      </w:r>
      <w:r w:rsidR="00A12C27">
        <w:rPr>
          <w:sz w:val="22"/>
          <w:szCs w:val="22"/>
        </w:rPr>
        <w:t>)</w:t>
      </w:r>
      <w:r w:rsidR="00FD6CE4" w:rsidRPr="002767CB">
        <w:rPr>
          <w:sz w:val="22"/>
          <w:szCs w:val="22"/>
        </w:rPr>
        <w:t xml:space="preserve">, enabling affordability and providing better </w:t>
      </w:r>
      <w:r w:rsidR="00F97A6D">
        <w:rPr>
          <w:sz w:val="22"/>
          <w:szCs w:val="22"/>
        </w:rPr>
        <w:t xml:space="preserve">renting experiences </w:t>
      </w:r>
      <w:r w:rsidR="00F77239">
        <w:rPr>
          <w:sz w:val="22"/>
          <w:szCs w:val="22"/>
        </w:rPr>
        <w:t xml:space="preserve">and ensuring security of tenure </w:t>
      </w:r>
      <w:r w:rsidR="00F97A6D">
        <w:rPr>
          <w:sz w:val="22"/>
          <w:szCs w:val="22"/>
        </w:rPr>
        <w:t xml:space="preserve">for </w:t>
      </w:r>
      <w:r w:rsidR="00FD6CE4" w:rsidRPr="002767CB">
        <w:rPr>
          <w:sz w:val="22"/>
          <w:szCs w:val="22"/>
        </w:rPr>
        <w:t>tenant</w:t>
      </w:r>
      <w:r w:rsidR="00F97A6D">
        <w:rPr>
          <w:sz w:val="22"/>
          <w:szCs w:val="22"/>
        </w:rPr>
        <w:t>s</w:t>
      </w:r>
      <w:r w:rsidR="00FD6CE4" w:rsidRPr="002767CB">
        <w:rPr>
          <w:sz w:val="22"/>
          <w:szCs w:val="22"/>
        </w:rPr>
        <w:t>.</w:t>
      </w:r>
    </w:p>
    <w:p w14:paraId="061E0915" w14:textId="77777777" w:rsidR="00FD6CE4" w:rsidRPr="00445458" w:rsidRDefault="003F0E26" w:rsidP="003F0E26">
      <w:pPr>
        <w:pStyle w:val="HUDSubheading"/>
        <w:rPr>
          <w:color w:val="0C609E" w:themeColor="accent1" w:themeShade="80"/>
          <w:sz w:val="22"/>
        </w:rPr>
      </w:pPr>
      <w:r w:rsidRPr="00445458">
        <w:rPr>
          <w:color w:val="0C609E" w:themeColor="accent1" w:themeShade="80"/>
          <w:sz w:val="22"/>
        </w:rPr>
        <w:t>Interest limitation rules</w:t>
      </w:r>
    </w:p>
    <w:p w14:paraId="494F315C" w14:textId="77777777" w:rsidR="002767CB" w:rsidRPr="000B1323" w:rsidRDefault="003F0E26" w:rsidP="004B49E1">
      <w:pPr>
        <w:pStyle w:val="HUDBody"/>
        <w:rPr>
          <w:sz w:val="22"/>
          <w:szCs w:val="22"/>
        </w:rPr>
      </w:pPr>
      <w:r w:rsidRPr="002767CB">
        <w:rPr>
          <w:sz w:val="22"/>
          <w:szCs w:val="22"/>
        </w:rPr>
        <w:t>Changes to interest limitation rules took effect 1 October 2021 to phase out investors’ ability to deduct interest costs against the income they make from a property.</w:t>
      </w:r>
      <w:r w:rsidR="00CC0ADB">
        <w:rPr>
          <w:sz w:val="22"/>
          <w:szCs w:val="22"/>
        </w:rPr>
        <w:t xml:space="preserve"> </w:t>
      </w:r>
      <w:r w:rsidRPr="002767CB">
        <w:rPr>
          <w:sz w:val="22"/>
          <w:szCs w:val="22"/>
        </w:rPr>
        <w:t>The</w:t>
      </w:r>
      <w:r w:rsidR="004C409C">
        <w:rPr>
          <w:sz w:val="22"/>
          <w:szCs w:val="22"/>
        </w:rPr>
        <w:t xml:space="preserve">se changes aim </w:t>
      </w:r>
      <w:r w:rsidR="00FB5BA2">
        <w:rPr>
          <w:sz w:val="22"/>
          <w:szCs w:val="22"/>
        </w:rPr>
        <w:t xml:space="preserve">to </w:t>
      </w:r>
      <w:r w:rsidRPr="002767CB">
        <w:rPr>
          <w:sz w:val="22"/>
          <w:szCs w:val="22"/>
        </w:rPr>
        <w:t xml:space="preserve">support more sustainable house prices and improve affordability for first home buyers. </w:t>
      </w:r>
    </w:p>
    <w:p w14:paraId="7E25823D" w14:textId="77777777" w:rsidR="002767CB" w:rsidRPr="000B1323" w:rsidRDefault="004C409C" w:rsidP="004B49E1">
      <w:pPr>
        <w:pStyle w:val="HUDBody"/>
        <w:rPr>
          <w:sz w:val="22"/>
          <w:szCs w:val="22"/>
        </w:rPr>
      </w:pPr>
      <w:r>
        <w:rPr>
          <w:sz w:val="22"/>
          <w:szCs w:val="22"/>
        </w:rPr>
        <w:t>To encourage</w:t>
      </w:r>
      <w:r w:rsidR="006A335C">
        <w:rPr>
          <w:sz w:val="22"/>
          <w:szCs w:val="22"/>
        </w:rPr>
        <w:t xml:space="preserve"> </w:t>
      </w:r>
      <w:r w:rsidR="002767CB" w:rsidRPr="000B1323">
        <w:rPr>
          <w:sz w:val="22"/>
          <w:szCs w:val="22"/>
        </w:rPr>
        <w:t>continued investment in new housing supply, new build properties are exempt from the rules for 20</w:t>
      </w:r>
      <w:r w:rsidR="00CC0ADB" w:rsidRPr="000B1323">
        <w:rPr>
          <w:sz w:val="22"/>
          <w:szCs w:val="22"/>
        </w:rPr>
        <w:t xml:space="preserve"> </w:t>
      </w:r>
      <w:r w:rsidR="002767CB" w:rsidRPr="000B1323">
        <w:rPr>
          <w:sz w:val="22"/>
          <w:szCs w:val="22"/>
        </w:rPr>
        <w:t>years after a code of compliance certificate is issued.</w:t>
      </w:r>
    </w:p>
    <w:p w14:paraId="00026CFA" w14:textId="77777777" w:rsidR="00FD6CE4" w:rsidRPr="000B1323" w:rsidRDefault="003F0E26" w:rsidP="004B49E1">
      <w:pPr>
        <w:pStyle w:val="HUDBody"/>
        <w:rPr>
          <w:sz w:val="22"/>
          <w:szCs w:val="22"/>
        </w:rPr>
      </w:pPr>
      <w:r w:rsidRPr="000B1323">
        <w:rPr>
          <w:sz w:val="22"/>
          <w:szCs w:val="22"/>
        </w:rPr>
        <w:t>For more information</w:t>
      </w:r>
      <w:r w:rsidR="007E78A8">
        <w:rPr>
          <w:sz w:val="22"/>
          <w:szCs w:val="22"/>
        </w:rPr>
        <w:t xml:space="preserve"> about the interest limitation rules</w:t>
      </w:r>
      <w:r w:rsidRPr="000B1323">
        <w:rPr>
          <w:sz w:val="22"/>
          <w:szCs w:val="22"/>
        </w:rPr>
        <w:t xml:space="preserve">, </w:t>
      </w:r>
      <w:r w:rsidR="002767CB" w:rsidRPr="000B1323">
        <w:rPr>
          <w:sz w:val="22"/>
          <w:szCs w:val="22"/>
        </w:rPr>
        <w:t>including about the</w:t>
      </w:r>
      <w:r w:rsidR="00CC0ADB" w:rsidRPr="000B1323">
        <w:rPr>
          <w:sz w:val="22"/>
          <w:szCs w:val="22"/>
        </w:rPr>
        <w:t xml:space="preserve"> 20-year</w:t>
      </w:r>
      <w:r w:rsidR="002767CB" w:rsidRPr="000B1323">
        <w:rPr>
          <w:sz w:val="22"/>
          <w:szCs w:val="22"/>
        </w:rPr>
        <w:t xml:space="preserve"> new build exemption, </w:t>
      </w:r>
      <w:r w:rsidR="006A335C">
        <w:rPr>
          <w:sz w:val="22"/>
          <w:szCs w:val="22"/>
        </w:rPr>
        <w:t>visit</w:t>
      </w:r>
      <w:r w:rsidRPr="000B1323">
        <w:rPr>
          <w:sz w:val="22"/>
          <w:szCs w:val="22"/>
        </w:rPr>
        <w:t xml:space="preserve"> </w:t>
      </w:r>
      <w:hyperlink r:id="rId18" w:history="1">
        <w:r w:rsidRPr="009E6045">
          <w:rPr>
            <w:rStyle w:val="Hyperlink"/>
            <w:sz w:val="22"/>
          </w:rPr>
          <w:t>www.ird.govt.nz/property-interest-rules</w:t>
        </w:r>
      </w:hyperlink>
      <w:r w:rsidRPr="009E6045">
        <w:rPr>
          <w:sz w:val="22"/>
        </w:rPr>
        <w:t>.</w:t>
      </w:r>
      <w:r w:rsidRPr="000B1323">
        <w:rPr>
          <w:sz w:val="22"/>
          <w:szCs w:val="22"/>
        </w:rPr>
        <w:t xml:space="preserve"> </w:t>
      </w:r>
    </w:p>
    <w:p w14:paraId="781B6E63" w14:textId="77777777" w:rsidR="00805DE8" w:rsidRPr="00445458" w:rsidRDefault="002767CB" w:rsidP="002767CB">
      <w:pPr>
        <w:pStyle w:val="HUDSubheading"/>
        <w:rPr>
          <w:color w:val="0C609E" w:themeColor="accent1" w:themeShade="80"/>
          <w:sz w:val="22"/>
        </w:rPr>
      </w:pPr>
      <w:r w:rsidRPr="00445458">
        <w:rPr>
          <w:color w:val="0C609E" w:themeColor="accent1" w:themeShade="80"/>
          <w:sz w:val="22"/>
        </w:rPr>
        <w:t>Build-to-rent exclusion</w:t>
      </w:r>
      <w:r w:rsidR="00752A28" w:rsidRPr="00445458">
        <w:rPr>
          <w:color w:val="0C609E" w:themeColor="accent1" w:themeShade="80"/>
          <w:sz w:val="22"/>
        </w:rPr>
        <w:t xml:space="preserve"> requirements</w:t>
      </w:r>
    </w:p>
    <w:p w14:paraId="4F66B551" w14:textId="77777777" w:rsidR="007E78A8" w:rsidRDefault="007E78A8" w:rsidP="004B49E1">
      <w:pPr>
        <w:pStyle w:val="HUDBody"/>
        <w:rPr>
          <w:sz w:val="22"/>
          <w:szCs w:val="22"/>
        </w:rPr>
      </w:pPr>
      <w:r>
        <w:rPr>
          <w:sz w:val="22"/>
          <w:szCs w:val="22"/>
        </w:rPr>
        <w:t>The exclusion applies to build-to-rent developments on land registered by Te Tūāpapa Kura Kāinga – Ministry of Housing and Urban Development.</w:t>
      </w:r>
    </w:p>
    <w:p w14:paraId="3246B4AD" w14:textId="77777777" w:rsidR="00805DE8" w:rsidRPr="000B1323" w:rsidRDefault="00CC0ADB" w:rsidP="004B49E1">
      <w:pPr>
        <w:pStyle w:val="HUDBody"/>
        <w:rPr>
          <w:sz w:val="22"/>
          <w:szCs w:val="22"/>
        </w:rPr>
      </w:pPr>
      <w:r w:rsidRPr="000B1323">
        <w:rPr>
          <w:sz w:val="22"/>
          <w:szCs w:val="22"/>
        </w:rPr>
        <w:t>To qualify for the exclusion</w:t>
      </w:r>
      <w:r w:rsidR="00B260DC">
        <w:rPr>
          <w:sz w:val="22"/>
          <w:szCs w:val="22"/>
        </w:rPr>
        <w:t xml:space="preserve"> from interest limitation</w:t>
      </w:r>
      <w:r w:rsidRPr="000B1323">
        <w:rPr>
          <w:sz w:val="22"/>
          <w:szCs w:val="22"/>
        </w:rPr>
        <w:t xml:space="preserve">, a development </w:t>
      </w:r>
      <w:r w:rsidR="00752A28" w:rsidRPr="000B1323">
        <w:rPr>
          <w:sz w:val="22"/>
          <w:szCs w:val="22"/>
        </w:rPr>
        <w:t>must meet the following requirements,</w:t>
      </w:r>
      <w:r w:rsidR="006A335C">
        <w:rPr>
          <w:sz w:val="22"/>
          <w:szCs w:val="22"/>
        </w:rPr>
        <w:t xml:space="preserve"> as</w:t>
      </w:r>
      <w:r w:rsidR="00752A28" w:rsidRPr="000B1323">
        <w:rPr>
          <w:sz w:val="22"/>
          <w:szCs w:val="22"/>
        </w:rPr>
        <w:t xml:space="preserve"> set out in the definition of build-to-rent land in the Income Tax Act 2007:</w:t>
      </w:r>
    </w:p>
    <w:p w14:paraId="5D8E18ED" w14:textId="77777777" w:rsidR="00752A28" w:rsidRPr="000B1323" w:rsidRDefault="00752A28" w:rsidP="00752A28">
      <w:pPr>
        <w:pStyle w:val="HUDBody"/>
        <w:numPr>
          <w:ilvl w:val="0"/>
          <w:numId w:val="35"/>
        </w:numPr>
        <w:rPr>
          <w:sz w:val="22"/>
          <w:szCs w:val="22"/>
        </w:rPr>
      </w:pPr>
      <w:r w:rsidRPr="000B1323">
        <w:rPr>
          <w:sz w:val="22"/>
          <w:szCs w:val="22"/>
        </w:rPr>
        <w:t>20 or more dwellings</w:t>
      </w:r>
      <w:r w:rsidR="00120EB1">
        <w:rPr>
          <w:sz w:val="22"/>
          <w:szCs w:val="22"/>
        </w:rPr>
        <w:t xml:space="preserve"> in a single development</w:t>
      </w:r>
      <w:r w:rsidRPr="000B1323">
        <w:rPr>
          <w:sz w:val="22"/>
          <w:szCs w:val="22"/>
        </w:rPr>
        <w:t xml:space="preserve"> on a single block or adjacent blocks, held in one or more titles</w:t>
      </w:r>
    </w:p>
    <w:p w14:paraId="2F5F3243" w14:textId="77777777" w:rsidR="00752A28" w:rsidRPr="000B1323" w:rsidRDefault="00752A28" w:rsidP="00752A28">
      <w:pPr>
        <w:pStyle w:val="HUDBody"/>
        <w:numPr>
          <w:ilvl w:val="0"/>
          <w:numId w:val="35"/>
        </w:numPr>
        <w:rPr>
          <w:sz w:val="22"/>
          <w:szCs w:val="22"/>
        </w:rPr>
      </w:pPr>
      <w:r w:rsidRPr="000B1323">
        <w:rPr>
          <w:sz w:val="22"/>
          <w:szCs w:val="22"/>
        </w:rPr>
        <w:t>owned by the same person (a person includes a legal entity like a company)</w:t>
      </w:r>
    </w:p>
    <w:p w14:paraId="7217F8F9" w14:textId="77777777" w:rsidR="00752A28" w:rsidRPr="000B1323" w:rsidRDefault="00752A28" w:rsidP="00752A28">
      <w:pPr>
        <w:pStyle w:val="HUDBody"/>
        <w:numPr>
          <w:ilvl w:val="0"/>
          <w:numId w:val="35"/>
        </w:numPr>
        <w:rPr>
          <w:sz w:val="22"/>
          <w:szCs w:val="22"/>
        </w:rPr>
      </w:pPr>
      <w:r w:rsidRPr="000B1323">
        <w:rPr>
          <w:sz w:val="22"/>
          <w:szCs w:val="22"/>
        </w:rPr>
        <w:t>each dwellings is being prepared for use, available, or occupied under a residential tenancy</w:t>
      </w:r>
    </w:p>
    <w:p w14:paraId="1CB750FC" w14:textId="77777777" w:rsidR="00752A28" w:rsidRPr="000B1323" w:rsidRDefault="00752A28" w:rsidP="00752A28">
      <w:pPr>
        <w:pStyle w:val="HUDBody"/>
        <w:numPr>
          <w:ilvl w:val="0"/>
          <w:numId w:val="35"/>
        </w:numPr>
        <w:rPr>
          <w:sz w:val="22"/>
          <w:szCs w:val="22"/>
        </w:rPr>
      </w:pPr>
      <w:r w:rsidRPr="000B1323">
        <w:rPr>
          <w:sz w:val="22"/>
          <w:szCs w:val="22"/>
        </w:rPr>
        <w:t>every residential tenancy has the option of a 10-year term, with the ability for the tenant to give 56 days’ notice of termination</w:t>
      </w:r>
    </w:p>
    <w:p w14:paraId="3FAA9602" w14:textId="77777777" w:rsidR="00752A28" w:rsidRPr="000B1323" w:rsidRDefault="00752A28" w:rsidP="00752A28">
      <w:pPr>
        <w:pStyle w:val="HUDBody"/>
        <w:numPr>
          <w:ilvl w:val="0"/>
          <w:numId w:val="35"/>
        </w:numPr>
        <w:rPr>
          <w:sz w:val="22"/>
          <w:szCs w:val="22"/>
        </w:rPr>
      </w:pPr>
      <w:r w:rsidRPr="000B1323">
        <w:rPr>
          <w:sz w:val="22"/>
          <w:szCs w:val="22"/>
        </w:rPr>
        <w:t>every tenancy agreement includes a personalisation policy</w:t>
      </w:r>
      <w:r w:rsidR="00B94EB3">
        <w:rPr>
          <w:sz w:val="22"/>
          <w:szCs w:val="22"/>
        </w:rPr>
        <w:t>, with reference to sections 42, 42A and 42B of the Residential Tenancies Act 1986</w:t>
      </w:r>
      <w:r w:rsidRPr="000B1323">
        <w:rPr>
          <w:sz w:val="22"/>
          <w:szCs w:val="22"/>
        </w:rPr>
        <w:t>.</w:t>
      </w:r>
    </w:p>
    <w:p w14:paraId="0E49A8FD" w14:textId="77777777" w:rsidR="006743D4" w:rsidRDefault="007E78A8" w:rsidP="00A648EC">
      <w:pPr>
        <w:pStyle w:val="HUDSubheading"/>
        <w:rPr>
          <w:b w:val="0"/>
          <w:bCs/>
          <w:sz w:val="22"/>
        </w:rPr>
      </w:pPr>
      <w:r>
        <w:rPr>
          <w:b w:val="0"/>
          <w:bCs/>
          <w:sz w:val="22"/>
        </w:rPr>
        <w:lastRenderedPageBreak/>
        <w:t>Land</w:t>
      </w:r>
      <w:r w:rsidR="00A648EC" w:rsidRPr="00C32BDC">
        <w:rPr>
          <w:b w:val="0"/>
          <w:bCs/>
          <w:sz w:val="22"/>
        </w:rPr>
        <w:t xml:space="preserve"> will no longer qualify for the </w:t>
      </w:r>
      <w:r>
        <w:rPr>
          <w:b w:val="0"/>
          <w:bCs/>
          <w:sz w:val="22"/>
        </w:rPr>
        <w:t xml:space="preserve">build-to-rent </w:t>
      </w:r>
      <w:r w:rsidR="00A648EC" w:rsidRPr="00C32BDC">
        <w:rPr>
          <w:b w:val="0"/>
          <w:bCs/>
          <w:sz w:val="22"/>
        </w:rPr>
        <w:t>exclusion if at any point in time</w:t>
      </w:r>
      <w:r>
        <w:rPr>
          <w:b w:val="0"/>
          <w:bCs/>
          <w:sz w:val="22"/>
        </w:rPr>
        <w:t xml:space="preserve"> the build-to-rent developments on the land do not meet these </w:t>
      </w:r>
      <w:r w:rsidR="00A648EC" w:rsidRPr="00C32BDC">
        <w:rPr>
          <w:b w:val="0"/>
          <w:bCs/>
          <w:sz w:val="22"/>
        </w:rPr>
        <w:t xml:space="preserve">requirements. Even if the requirements </w:t>
      </w:r>
      <w:r w:rsidR="003A6CFD">
        <w:rPr>
          <w:b w:val="0"/>
          <w:bCs/>
          <w:sz w:val="22"/>
        </w:rPr>
        <w:t xml:space="preserve">are met </w:t>
      </w:r>
      <w:r w:rsidR="00A648EC" w:rsidRPr="00C32BDC">
        <w:rPr>
          <w:b w:val="0"/>
          <w:bCs/>
          <w:sz w:val="22"/>
        </w:rPr>
        <w:t xml:space="preserve">in the future, </w:t>
      </w:r>
      <w:r w:rsidR="003A6CFD">
        <w:rPr>
          <w:b w:val="0"/>
          <w:bCs/>
          <w:sz w:val="22"/>
        </w:rPr>
        <w:t>the land</w:t>
      </w:r>
      <w:r w:rsidR="00A648EC" w:rsidRPr="00C32BDC">
        <w:rPr>
          <w:b w:val="0"/>
          <w:bCs/>
          <w:sz w:val="22"/>
        </w:rPr>
        <w:t xml:space="preserve"> will be unable qualify for the build-to-rent exclusion again.</w:t>
      </w:r>
    </w:p>
    <w:p w14:paraId="3AE4B8B8" w14:textId="77777777" w:rsidR="00FB5BA2" w:rsidRPr="00C32BDC" w:rsidRDefault="00FB5BA2" w:rsidP="00A648EC">
      <w:pPr>
        <w:pStyle w:val="HUDSubheading"/>
        <w:rPr>
          <w:b w:val="0"/>
          <w:bCs/>
          <w:sz w:val="22"/>
        </w:rPr>
      </w:pPr>
      <w:r>
        <w:rPr>
          <w:b w:val="0"/>
          <w:bCs/>
          <w:sz w:val="22"/>
        </w:rPr>
        <w:t>In situations where</w:t>
      </w:r>
      <w:r w:rsidR="006A335C">
        <w:rPr>
          <w:b w:val="0"/>
          <w:bCs/>
          <w:sz w:val="22"/>
        </w:rPr>
        <w:t xml:space="preserve"> </w:t>
      </w:r>
      <w:r>
        <w:rPr>
          <w:b w:val="0"/>
          <w:bCs/>
          <w:sz w:val="22"/>
        </w:rPr>
        <w:t xml:space="preserve">an inadvertent breach of the definition occurs, for example, a genuine administrative error sees a tenant in one of the 20 dwellings not provided an explicit personalisation policy, Te Tūāpapa Kura Kāinga – Ministry of Housing and Urban Development will work with </w:t>
      </w:r>
      <w:r w:rsidR="004F5088">
        <w:rPr>
          <w:b w:val="0"/>
          <w:bCs/>
          <w:sz w:val="22"/>
        </w:rPr>
        <w:t xml:space="preserve">build-to-rent providers </w:t>
      </w:r>
      <w:r>
        <w:rPr>
          <w:b w:val="0"/>
          <w:bCs/>
          <w:sz w:val="22"/>
        </w:rPr>
        <w:t xml:space="preserve">to assist them in meeting compliance. </w:t>
      </w:r>
    </w:p>
    <w:p w14:paraId="738F3745" w14:textId="77777777" w:rsidR="00CD7898" w:rsidRPr="00C32BDC" w:rsidRDefault="00CD7898" w:rsidP="00CD7898">
      <w:pPr>
        <w:pStyle w:val="HUDSubheading"/>
        <w:rPr>
          <w:color w:val="0C609E" w:themeColor="accent1" w:themeShade="80"/>
          <w:sz w:val="22"/>
        </w:rPr>
      </w:pPr>
      <w:r w:rsidRPr="00C32BDC">
        <w:rPr>
          <w:color w:val="0C609E" w:themeColor="accent1" w:themeShade="80"/>
          <w:sz w:val="22"/>
        </w:rPr>
        <w:t>Mixed-tenure developments</w:t>
      </w:r>
    </w:p>
    <w:p w14:paraId="58483665" w14:textId="77777777" w:rsidR="00C32BDC" w:rsidRDefault="003F5AB0" w:rsidP="00CD7898">
      <w:pPr>
        <w:pStyle w:val="HUDSubheading"/>
        <w:rPr>
          <w:b w:val="0"/>
          <w:bCs/>
          <w:sz w:val="22"/>
        </w:rPr>
      </w:pPr>
      <w:r>
        <w:rPr>
          <w:b w:val="0"/>
          <w:bCs/>
          <w:sz w:val="22"/>
        </w:rPr>
        <w:t xml:space="preserve">Dwellings on build-to-rent land and the land itself do not have to be </w:t>
      </w:r>
      <w:r w:rsidR="003D482F">
        <w:rPr>
          <w:b w:val="0"/>
          <w:bCs/>
          <w:sz w:val="22"/>
        </w:rPr>
        <w:t xml:space="preserve">strictly </w:t>
      </w:r>
      <w:r w:rsidR="00DA201A">
        <w:rPr>
          <w:b w:val="0"/>
          <w:bCs/>
          <w:sz w:val="22"/>
        </w:rPr>
        <w:t>neighbouring</w:t>
      </w:r>
      <w:r>
        <w:rPr>
          <w:b w:val="0"/>
          <w:bCs/>
          <w:sz w:val="22"/>
        </w:rPr>
        <w:t xml:space="preserve">. For example, a commercial space or owner-occupied home can exist in a single development between qualifying build-to-rent units. </w:t>
      </w:r>
    </w:p>
    <w:p w14:paraId="655BA2EC" w14:textId="77777777" w:rsidR="003F5AB0" w:rsidRPr="003F5AB0" w:rsidRDefault="003F5AB0" w:rsidP="00CD7898">
      <w:pPr>
        <w:pStyle w:val="HUDSubheading"/>
        <w:rPr>
          <w:b w:val="0"/>
          <w:bCs/>
          <w:sz w:val="22"/>
        </w:rPr>
      </w:pPr>
      <w:r>
        <w:rPr>
          <w:b w:val="0"/>
          <w:bCs/>
          <w:sz w:val="22"/>
        </w:rPr>
        <w:t>The definition of build-to-rent land refers to sections CB 12(1)(a) to (e) and CB 13(1)(a) and (b)</w:t>
      </w:r>
      <w:r w:rsidR="00363267">
        <w:rPr>
          <w:b w:val="0"/>
          <w:bCs/>
          <w:sz w:val="22"/>
        </w:rPr>
        <w:t>,</w:t>
      </w:r>
      <w:r>
        <w:rPr>
          <w:b w:val="0"/>
          <w:bCs/>
          <w:sz w:val="22"/>
        </w:rPr>
        <w:t xml:space="preserve"> </w:t>
      </w:r>
      <w:r w:rsidR="00FB5BA2">
        <w:rPr>
          <w:b w:val="0"/>
          <w:bCs/>
          <w:sz w:val="22"/>
        </w:rPr>
        <w:t xml:space="preserve">and </w:t>
      </w:r>
      <w:r>
        <w:rPr>
          <w:b w:val="0"/>
          <w:bCs/>
          <w:sz w:val="22"/>
        </w:rPr>
        <w:t>requir</w:t>
      </w:r>
      <w:r w:rsidR="00FB5BA2">
        <w:rPr>
          <w:b w:val="0"/>
          <w:bCs/>
          <w:sz w:val="22"/>
        </w:rPr>
        <w:t>es</w:t>
      </w:r>
      <w:r>
        <w:rPr>
          <w:b w:val="0"/>
          <w:bCs/>
          <w:sz w:val="22"/>
        </w:rPr>
        <w:t xml:space="preserve"> </w:t>
      </w:r>
      <w:r w:rsidR="00FB5BA2">
        <w:rPr>
          <w:b w:val="0"/>
          <w:bCs/>
          <w:sz w:val="22"/>
        </w:rPr>
        <w:t xml:space="preserve">land to be part of a single development. </w:t>
      </w:r>
      <w:r>
        <w:rPr>
          <w:b w:val="0"/>
          <w:bCs/>
          <w:sz w:val="22"/>
        </w:rPr>
        <w:t>This clarifies that developments which span multiple blocks</w:t>
      </w:r>
      <w:r w:rsidR="00363267">
        <w:rPr>
          <w:b w:val="0"/>
          <w:bCs/>
          <w:sz w:val="22"/>
        </w:rPr>
        <w:t xml:space="preserve"> of land</w:t>
      </w:r>
      <w:r>
        <w:rPr>
          <w:b w:val="0"/>
          <w:bCs/>
          <w:sz w:val="22"/>
        </w:rPr>
        <w:t xml:space="preserve"> and are</w:t>
      </w:r>
      <w:r w:rsidR="00363267">
        <w:rPr>
          <w:b w:val="0"/>
          <w:bCs/>
          <w:sz w:val="22"/>
        </w:rPr>
        <w:t xml:space="preserve"> not</w:t>
      </w:r>
      <w:r>
        <w:rPr>
          <w:b w:val="0"/>
          <w:bCs/>
          <w:sz w:val="22"/>
        </w:rPr>
        <w:t xml:space="preserve"> directly touching, for example, are separated by a road, are eligible for the exclusion if all other requirements are met.</w:t>
      </w:r>
    </w:p>
    <w:p w14:paraId="07861699" w14:textId="77777777" w:rsidR="00A648EC" w:rsidRPr="00123986" w:rsidRDefault="00AD0F5A" w:rsidP="00AD0F5A">
      <w:pPr>
        <w:pStyle w:val="HUDSubheading"/>
        <w:rPr>
          <w:color w:val="0C609E" w:themeColor="accent1" w:themeShade="80"/>
          <w:sz w:val="22"/>
        </w:rPr>
      </w:pPr>
      <w:r w:rsidRPr="00123986">
        <w:rPr>
          <w:color w:val="0C609E" w:themeColor="accent1" w:themeShade="80"/>
          <w:sz w:val="22"/>
        </w:rPr>
        <w:t>Apportionment</w:t>
      </w:r>
    </w:p>
    <w:p w14:paraId="3E1D9D69" w14:textId="77777777" w:rsidR="00445458" w:rsidRPr="00C32BDC" w:rsidRDefault="00A648EC" w:rsidP="008348EB">
      <w:pPr>
        <w:pStyle w:val="HUDSubheading"/>
        <w:rPr>
          <w:b w:val="0"/>
          <w:bCs/>
          <w:sz w:val="22"/>
        </w:rPr>
      </w:pPr>
      <w:r w:rsidRPr="00C32BDC">
        <w:rPr>
          <w:b w:val="0"/>
          <w:bCs/>
          <w:sz w:val="22"/>
        </w:rPr>
        <w:t>Only interest relating to the portion of the development meeting the build-to-rent land definition can be claimed.</w:t>
      </w:r>
      <w:r w:rsidR="00404918">
        <w:rPr>
          <w:b w:val="0"/>
          <w:bCs/>
          <w:sz w:val="22"/>
        </w:rPr>
        <w:t xml:space="preserve"> </w:t>
      </w:r>
      <w:r w:rsidRPr="00C32BDC">
        <w:rPr>
          <w:b w:val="0"/>
          <w:bCs/>
          <w:sz w:val="22"/>
        </w:rPr>
        <w:t xml:space="preserve">Taxpayers will </w:t>
      </w:r>
      <w:r w:rsidR="00404918">
        <w:rPr>
          <w:b w:val="0"/>
          <w:bCs/>
          <w:sz w:val="22"/>
        </w:rPr>
        <w:t xml:space="preserve">need </w:t>
      </w:r>
      <w:r w:rsidRPr="00C32BDC">
        <w:rPr>
          <w:b w:val="0"/>
          <w:bCs/>
          <w:sz w:val="22"/>
        </w:rPr>
        <w:t>to a</w:t>
      </w:r>
      <w:r w:rsidR="00FB5BA2">
        <w:rPr>
          <w:b w:val="0"/>
          <w:bCs/>
          <w:sz w:val="22"/>
        </w:rPr>
        <w:t>pportion</w:t>
      </w:r>
      <w:r w:rsidRPr="00C32BDC">
        <w:rPr>
          <w:b w:val="0"/>
          <w:bCs/>
          <w:sz w:val="22"/>
        </w:rPr>
        <w:t xml:space="preserve"> their interest expense in their income tax returns for any dwellings that do not meet the build-to-rent land definition. </w:t>
      </w:r>
    </w:p>
    <w:p w14:paraId="112C96F8" w14:textId="77777777" w:rsidR="001E4DF5" w:rsidRDefault="001E4DF5" w:rsidP="008348EB">
      <w:pPr>
        <w:pStyle w:val="HUDSubheading"/>
        <w:rPr>
          <w:color w:val="0C609E" w:themeColor="accent1" w:themeShade="80"/>
          <w:sz w:val="22"/>
        </w:rPr>
      </w:pPr>
      <w:r w:rsidRPr="001E4DF5">
        <w:rPr>
          <w:color w:val="0C609E" w:themeColor="accent1" w:themeShade="80"/>
          <w:sz w:val="22"/>
        </w:rPr>
        <w:t>What is a build-to-rent tenancy?</w:t>
      </w:r>
    </w:p>
    <w:p w14:paraId="76A8690E" w14:textId="77777777" w:rsidR="001E4DF5" w:rsidRPr="001E4DF5" w:rsidRDefault="001E4DF5" w:rsidP="008348EB">
      <w:pPr>
        <w:pStyle w:val="HUDSubheading"/>
        <w:rPr>
          <w:b w:val="0"/>
          <w:bCs/>
          <w:color w:val="0C609E" w:themeColor="accent1" w:themeShade="80"/>
          <w:sz w:val="22"/>
        </w:rPr>
      </w:pPr>
      <w:r>
        <w:rPr>
          <w:b w:val="0"/>
          <w:bCs/>
          <w:sz w:val="22"/>
        </w:rPr>
        <w:t xml:space="preserve">The definition of build-to-rent land requires a tenancy that is </w:t>
      </w:r>
      <w:r w:rsidR="00DA201A">
        <w:rPr>
          <w:b w:val="0"/>
          <w:bCs/>
          <w:sz w:val="22"/>
        </w:rPr>
        <w:t>covered</w:t>
      </w:r>
      <w:r>
        <w:rPr>
          <w:b w:val="0"/>
          <w:bCs/>
          <w:sz w:val="22"/>
        </w:rPr>
        <w:t xml:space="preserve"> under the Residential Tenancies Act 1986. A build-to-rent tenancy is therefore </w:t>
      </w:r>
      <w:r w:rsidR="000B2617">
        <w:rPr>
          <w:b w:val="0"/>
          <w:bCs/>
          <w:sz w:val="22"/>
        </w:rPr>
        <w:t>like</w:t>
      </w:r>
      <w:r>
        <w:rPr>
          <w:b w:val="0"/>
          <w:bCs/>
          <w:sz w:val="22"/>
        </w:rPr>
        <w:t xml:space="preserve"> other types of residential rental arrangements, which are offered under fixed-term or periodic tenancy agreements. </w:t>
      </w:r>
      <w:r w:rsidR="00B765C9">
        <w:rPr>
          <w:b w:val="0"/>
          <w:bCs/>
          <w:sz w:val="22"/>
        </w:rPr>
        <w:t xml:space="preserve">Additional requirements exist under the build-to-rent land definition that mean build-to-rent </w:t>
      </w:r>
      <w:r w:rsidR="00B765C9">
        <w:rPr>
          <w:b w:val="0"/>
          <w:bCs/>
          <w:sz w:val="22"/>
        </w:rPr>
        <w:t>providers (prospective and current) must offer tenants a 10-year fixed-term tenancy with the ability for tenants to terminate the tenancy with 56 days’ notice and provide a clear personalisation policy to tenants.</w:t>
      </w:r>
    </w:p>
    <w:p w14:paraId="35D32A6F" w14:textId="77777777" w:rsidR="008348EB" w:rsidRPr="001E4DF5" w:rsidRDefault="008348EB" w:rsidP="008348EB">
      <w:pPr>
        <w:pStyle w:val="HUDSubheading"/>
        <w:rPr>
          <w:color w:val="0C609E" w:themeColor="accent1" w:themeShade="80"/>
          <w:sz w:val="22"/>
        </w:rPr>
      </w:pPr>
      <w:r w:rsidRPr="001E4DF5">
        <w:rPr>
          <w:color w:val="0C609E" w:themeColor="accent1" w:themeShade="80"/>
          <w:sz w:val="22"/>
        </w:rPr>
        <w:t>10-year fixed-term tenancy agreements</w:t>
      </w:r>
    </w:p>
    <w:p w14:paraId="010FB0FB" w14:textId="77777777" w:rsidR="008348EB" w:rsidRDefault="009E6045" w:rsidP="008348EB">
      <w:pPr>
        <w:pStyle w:val="HUDSubheading"/>
        <w:rPr>
          <w:b w:val="0"/>
          <w:bCs/>
          <w:sz w:val="22"/>
        </w:rPr>
      </w:pPr>
      <w:r>
        <w:rPr>
          <w:b w:val="0"/>
          <w:bCs/>
          <w:sz w:val="22"/>
        </w:rPr>
        <w:t>Build-to-rent t</w:t>
      </w:r>
      <w:r w:rsidR="000B1323" w:rsidRPr="001E4DF5">
        <w:rPr>
          <w:b w:val="0"/>
          <w:bCs/>
          <w:sz w:val="22"/>
        </w:rPr>
        <w:t>enants must be offered a 10-year fixed-term tenancy agreement</w:t>
      </w:r>
      <w:r w:rsidR="00541122" w:rsidRPr="001E4DF5">
        <w:rPr>
          <w:b w:val="0"/>
          <w:bCs/>
          <w:sz w:val="22"/>
        </w:rPr>
        <w:t>, with the ability to terminate the tenancy with 56 days’ notice. Tenants do not have to accept this offer and can request other tenancy agreements as provided for by the Residential Tenancies Act 1986.</w:t>
      </w:r>
      <w:r w:rsidR="00B765C9">
        <w:rPr>
          <w:b w:val="0"/>
          <w:bCs/>
          <w:sz w:val="22"/>
        </w:rPr>
        <w:t xml:space="preserve"> Where other tenancy terms are agreed, the Residential Tenancies Act 1986 applies.</w:t>
      </w:r>
    </w:p>
    <w:p w14:paraId="520539B1" w14:textId="77777777" w:rsidR="00753185" w:rsidRDefault="00753185" w:rsidP="008348EB">
      <w:pPr>
        <w:pStyle w:val="HUDSubheading"/>
        <w:rPr>
          <w:b w:val="0"/>
          <w:bCs/>
          <w:sz w:val="22"/>
        </w:rPr>
      </w:pPr>
      <w:r>
        <w:rPr>
          <w:b w:val="0"/>
          <w:bCs/>
          <w:sz w:val="22"/>
        </w:rPr>
        <w:t>Tenants seeking to renew their tenancy agreement in a build-to-rent dwelling must always be offered the option of a 10-year fixed-term tenancy. This applies in instances of renewal or at any time if agreed to by both the tenant and provider.</w:t>
      </w:r>
    </w:p>
    <w:p w14:paraId="2D831119" w14:textId="77777777" w:rsidR="002833BE" w:rsidRPr="001E4DF5" w:rsidRDefault="002833BE" w:rsidP="008348EB">
      <w:pPr>
        <w:pStyle w:val="HUDSubheading"/>
        <w:rPr>
          <w:b w:val="0"/>
          <w:bCs/>
          <w:sz w:val="22"/>
        </w:rPr>
      </w:pPr>
      <w:r>
        <w:rPr>
          <w:b w:val="0"/>
          <w:bCs/>
          <w:sz w:val="22"/>
        </w:rPr>
        <w:t>The intent of this requirement is to give tenants increased tenure security which has many wellbeing benefits, while maintaining their rights as tenants and to ensure suitable levels of household flexibility and mobility.</w:t>
      </w:r>
    </w:p>
    <w:p w14:paraId="1833AA33" w14:textId="77777777" w:rsidR="00805DE8" w:rsidRPr="001E4DF5" w:rsidRDefault="00805DE8" w:rsidP="002B3B3D">
      <w:pPr>
        <w:pStyle w:val="HUDSubheading"/>
        <w:rPr>
          <w:color w:val="0C609E" w:themeColor="accent1" w:themeShade="80"/>
          <w:sz w:val="22"/>
        </w:rPr>
      </w:pPr>
      <w:r w:rsidRPr="001E4DF5">
        <w:rPr>
          <w:color w:val="0C609E" w:themeColor="accent1" w:themeShade="80"/>
          <w:sz w:val="22"/>
        </w:rPr>
        <w:t>Personalisation policies</w:t>
      </w:r>
    </w:p>
    <w:p w14:paraId="11153043" w14:textId="77777777" w:rsidR="002B3B3D" w:rsidRDefault="002B3B3D" w:rsidP="004B49E1">
      <w:pPr>
        <w:pStyle w:val="HUDBody"/>
        <w:rPr>
          <w:sz w:val="22"/>
          <w:szCs w:val="22"/>
        </w:rPr>
      </w:pPr>
      <w:r w:rsidRPr="001E4DF5">
        <w:rPr>
          <w:sz w:val="22"/>
          <w:szCs w:val="22"/>
        </w:rPr>
        <w:t xml:space="preserve">Build-to-rent providers must explicitly offer tenants the ability to personalise their dwellings, </w:t>
      </w:r>
      <w:r w:rsidR="00BB44B5">
        <w:rPr>
          <w:sz w:val="22"/>
          <w:szCs w:val="22"/>
        </w:rPr>
        <w:t xml:space="preserve">with reference to sections </w:t>
      </w:r>
      <w:hyperlink r:id="rId19" w:history="1">
        <w:r w:rsidR="00392647">
          <w:rPr>
            <w:rStyle w:val="Hyperlink"/>
          </w:rPr>
          <w:t>42</w:t>
        </w:r>
      </w:hyperlink>
      <w:r w:rsidR="00BB44B5">
        <w:rPr>
          <w:sz w:val="22"/>
          <w:szCs w:val="22"/>
        </w:rPr>
        <w:t xml:space="preserve">, </w:t>
      </w:r>
      <w:hyperlink r:id="rId20" w:history="1">
        <w:r w:rsidR="00392647">
          <w:rPr>
            <w:rStyle w:val="Hyperlink"/>
          </w:rPr>
          <w:t>42A</w:t>
        </w:r>
      </w:hyperlink>
      <w:r w:rsidR="00BB44B5">
        <w:rPr>
          <w:sz w:val="22"/>
          <w:szCs w:val="22"/>
        </w:rPr>
        <w:t xml:space="preserve"> and </w:t>
      </w:r>
      <w:hyperlink r:id="rId21" w:history="1">
        <w:r w:rsidR="00392647">
          <w:rPr>
            <w:rStyle w:val="Hyperlink"/>
          </w:rPr>
          <w:t>42B</w:t>
        </w:r>
      </w:hyperlink>
      <w:r w:rsidR="00BB44B5">
        <w:rPr>
          <w:sz w:val="22"/>
          <w:szCs w:val="22"/>
        </w:rPr>
        <w:t xml:space="preserve"> of the Residential Tenancies Act 1986. </w:t>
      </w:r>
      <w:r w:rsidRPr="001E4DF5">
        <w:rPr>
          <w:sz w:val="22"/>
          <w:szCs w:val="22"/>
        </w:rPr>
        <w:t>This may look like a build-to-rent provider including a clause in tenancy agreements or producing a document offered to all tenants within a development explicitly outlining how tenants can personalise their dwellings.</w:t>
      </w:r>
      <w:r w:rsidR="00F47DB0" w:rsidRPr="001E4DF5">
        <w:rPr>
          <w:sz w:val="22"/>
          <w:szCs w:val="22"/>
        </w:rPr>
        <w:t xml:space="preserve"> Providers must include their position on the keeping of pets.</w:t>
      </w:r>
    </w:p>
    <w:p w14:paraId="74E9239F" w14:textId="77777777" w:rsidR="008348EB" w:rsidRDefault="002B3B3D" w:rsidP="004B49E1">
      <w:pPr>
        <w:pStyle w:val="HUDBody"/>
        <w:rPr>
          <w:sz w:val="22"/>
          <w:szCs w:val="22"/>
        </w:rPr>
      </w:pPr>
      <w:r w:rsidRPr="001E4DF5">
        <w:rPr>
          <w:sz w:val="22"/>
          <w:szCs w:val="22"/>
        </w:rPr>
        <w:t>Personalisation policies are not intended to pre-authorise</w:t>
      </w:r>
      <w:r w:rsidR="008348EB" w:rsidRPr="001E4DF5">
        <w:rPr>
          <w:sz w:val="22"/>
          <w:szCs w:val="22"/>
        </w:rPr>
        <w:t xml:space="preserve"> the personalisations featured in the policies, rather they are intended to make clear to tenants upfront what personalisations the build-to-rent provider is happy for the tenant to make.</w:t>
      </w:r>
    </w:p>
    <w:p w14:paraId="2F088E30" w14:textId="77777777" w:rsidR="00FE0E7C" w:rsidRDefault="00FE0E7C" w:rsidP="004B49E1">
      <w:pPr>
        <w:pStyle w:val="HUDBody"/>
        <w:rPr>
          <w:sz w:val="22"/>
          <w:szCs w:val="22"/>
        </w:rPr>
      </w:pPr>
      <w:r>
        <w:rPr>
          <w:sz w:val="22"/>
          <w:szCs w:val="22"/>
        </w:rPr>
        <w:t xml:space="preserve">At the end of a tenancy, tenants will be required to ‘make good’ on any personalisation </w:t>
      </w:r>
      <w:r>
        <w:rPr>
          <w:sz w:val="22"/>
          <w:szCs w:val="22"/>
        </w:rPr>
        <w:lastRenderedPageBreak/>
        <w:t xml:space="preserve">made during the tenancy, as set out </w:t>
      </w:r>
      <w:r w:rsidR="00F11811">
        <w:rPr>
          <w:sz w:val="22"/>
          <w:szCs w:val="22"/>
        </w:rPr>
        <w:t xml:space="preserve">in section </w:t>
      </w:r>
      <w:hyperlink r:id="rId22" w:history="1">
        <w:r w:rsidR="00C13D44">
          <w:rPr>
            <w:rStyle w:val="Hyperlink"/>
          </w:rPr>
          <w:t>42B(4)</w:t>
        </w:r>
      </w:hyperlink>
      <w:r w:rsidR="00F11811">
        <w:rPr>
          <w:sz w:val="22"/>
          <w:szCs w:val="22"/>
        </w:rPr>
        <w:t xml:space="preserve"> of </w:t>
      </w:r>
      <w:r>
        <w:rPr>
          <w:sz w:val="22"/>
          <w:szCs w:val="22"/>
        </w:rPr>
        <w:t>the Residential Tenancies Act 1986.</w:t>
      </w:r>
    </w:p>
    <w:p w14:paraId="764391FD" w14:textId="77777777" w:rsidR="002833BE" w:rsidRDefault="002833BE" w:rsidP="004B49E1">
      <w:pPr>
        <w:pStyle w:val="HUDBody"/>
        <w:rPr>
          <w:sz w:val="22"/>
          <w:szCs w:val="22"/>
        </w:rPr>
      </w:pPr>
      <w:r>
        <w:rPr>
          <w:sz w:val="22"/>
          <w:szCs w:val="22"/>
        </w:rPr>
        <w:t>The intent of this requirement is to make lifestyle issues, like pets and home-making, more transparent to current and prospective tenants.</w:t>
      </w:r>
    </w:p>
    <w:p w14:paraId="19448CDA" w14:textId="77777777" w:rsidR="00805DE8" w:rsidRPr="001E4DF5" w:rsidRDefault="00805DE8" w:rsidP="008052D7">
      <w:pPr>
        <w:pStyle w:val="HUDSubheading"/>
        <w:rPr>
          <w:color w:val="0C609E" w:themeColor="accent1" w:themeShade="80"/>
          <w:sz w:val="22"/>
        </w:rPr>
      </w:pPr>
      <w:r w:rsidRPr="001E4DF5">
        <w:rPr>
          <w:color w:val="0C609E" w:themeColor="accent1" w:themeShade="80"/>
          <w:sz w:val="22"/>
        </w:rPr>
        <w:t>How to apply</w:t>
      </w:r>
    </w:p>
    <w:p w14:paraId="75DC3712" w14:textId="77777777" w:rsidR="00B62BC0" w:rsidRDefault="00B62BC0" w:rsidP="004B49E1">
      <w:pPr>
        <w:pStyle w:val="HUDBody"/>
        <w:rPr>
          <w:sz w:val="22"/>
          <w:szCs w:val="22"/>
        </w:rPr>
      </w:pPr>
      <w:r>
        <w:rPr>
          <w:sz w:val="22"/>
          <w:szCs w:val="22"/>
        </w:rPr>
        <w:t>The exclusion applies to build-to-rent developments on land registered by Te Tūāpapa Kura Kāinga</w:t>
      </w:r>
      <w:r w:rsidR="00DA201A">
        <w:rPr>
          <w:sz w:val="22"/>
          <w:szCs w:val="22"/>
        </w:rPr>
        <w:t xml:space="preserve"> – Ministry of Housing and Urban Development </w:t>
      </w:r>
      <w:r>
        <w:rPr>
          <w:sz w:val="22"/>
          <w:szCs w:val="22"/>
        </w:rPr>
        <w:t xml:space="preserve">as build-to-rent. </w:t>
      </w:r>
    </w:p>
    <w:p w14:paraId="1C39B05E" w14:textId="77777777" w:rsidR="00726A94" w:rsidRPr="001E4DF5" w:rsidRDefault="00120EB1" w:rsidP="004B49E1">
      <w:pPr>
        <w:pStyle w:val="HUDBody"/>
        <w:rPr>
          <w:sz w:val="22"/>
          <w:szCs w:val="22"/>
        </w:rPr>
      </w:pPr>
      <w:r>
        <w:rPr>
          <w:sz w:val="22"/>
          <w:szCs w:val="22"/>
        </w:rPr>
        <w:t xml:space="preserve">Once approved, </w:t>
      </w:r>
      <w:r w:rsidR="00DA201A">
        <w:rPr>
          <w:sz w:val="22"/>
          <w:szCs w:val="22"/>
        </w:rPr>
        <w:t xml:space="preserve">the Ministry </w:t>
      </w:r>
      <w:r>
        <w:rPr>
          <w:sz w:val="22"/>
          <w:szCs w:val="22"/>
        </w:rPr>
        <w:t>will record land on the register and share relevant information with Inland Revenue.</w:t>
      </w:r>
      <w:r w:rsidR="00B62BC0">
        <w:rPr>
          <w:sz w:val="22"/>
          <w:szCs w:val="22"/>
        </w:rPr>
        <w:t xml:space="preserve"> T</w:t>
      </w:r>
      <w:r w:rsidR="00726A94" w:rsidRPr="001E4DF5">
        <w:rPr>
          <w:sz w:val="22"/>
          <w:szCs w:val="22"/>
        </w:rPr>
        <w:t>axpayers can indicate this in their yearly tax returns</w:t>
      </w:r>
      <w:r w:rsidR="009E6045">
        <w:rPr>
          <w:sz w:val="22"/>
          <w:szCs w:val="22"/>
        </w:rPr>
        <w:t>.</w:t>
      </w:r>
    </w:p>
    <w:p w14:paraId="6C2FBF51" w14:textId="77777777" w:rsidR="00DA201A" w:rsidRPr="009E6045" w:rsidRDefault="00726A94" w:rsidP="009E6045">
      <w:pPr>
        <w:pStyle w:val="HUDBody"/>
        <w:rPr>
          <w:sz w:val="22"/>
          <w:szCs w:val="22"/>
        </w:rPr>
      </w:pPr>
      <w:r w:rsidRPr="001E4DF5">
        <w:rPr>
          <w:sz w:val="22"/>
          <w:szCs w:val="22"/>
        </w:rPr>
        <w:t xml:space="preserve">Further information about the register of assets and how to apply </w:t>
      </w:r>
      <w:r w:rsidR="00B62BC0">
        <w:rPr>
          <w:sz w:val="22"/>
          <w:szCs w:val="22"/>
        </w:rPr>
        <w:t>is</w:t>
      </w:r>
      <w:r w:rsidRPr="001E4DF5">
        <w:rPr>
          <w:sz w:val="22"/>
          <w:szCs w:val="22"/>
        </w:rPr>
        <w:t xml:space="preserve"> available </w:t>
      </w:r>
      <w:r w:rsidR="000D5CEE">
        <w:rPr>
          <w:sz w:val="22"/>
          <w:szCs w:val="22"/>
        </w:rPr>
        <w:t xml:space="preserve">on </w:t>
      </w:r>
      <w:hyperlink r:id="rId23" w:history="1">
        <w:r w:rsidR="009E6045">
          <w:rPr>
            <w:rStyle w:val="Hyperlink"/>
            <w:sz w:val="22"/>
            <w:szCs w:val="22"/>
          </w:rPr>
          <w:t>Te Tūāpapa Kura Kāinga - Ministry of Housing and Urban Development's website</w:t>
        </w:r>
      </w:hyperlink>
      <w:r w:rsidR="009E6045">
        <w:rPr>
          <w:sz w:val="22"/>
          <w:szCs w:val="22"/>
        </w:rPr>
        <w:t xml:space="preserve">. </w:t>
      </w:r>
    </w:p>
    <w:p w14:paraId="7ECB76F7" w14:textId="77777777" w:rsidR="00123986" w:rsidRPr="001E4DF5" w:rsidRDefault="00F96337" w:rsidP="00123986">
      <w:pPr>
        <w:pStyle w:val="HUDSubheading"/>
        <w:rPr>
          <w:color w:val="0C609E" w:themeColor="accent1" w:themeShade="80"/>
          <w:sz w:val="22"/>
        </w:rPr>
      </w:pPr>
      <w:r>
        <w:rPr>
          <w:color w:val="0C609E" w:themeColor="accent1" w:themeShade="80"/>
          <w:sz w:val="22"/>
        </w:rPr>
        <w:t>Complaints or concerns</w:t>
      </w:r>
    </w:p>
    <w:p w14:paraId="5E9FDB56" w14:textId="77777777" w:rsidR="00657597" w:rsidRDefault="00940596" w:rsidP="004B49E1">
      <w:pPr>
        <w:pStyle w:val="HUDBody"/>
        <w:rPr>
          <w:sz w:val="22"/>
          <w:szCs w:val="22"/>
        </w:rPr>
      </w:pPr>
      <w:r>
        <w:rPr>
          <w:sz w:val="22"/>
          <w:szCs w:val="22"/>
        </w:rPr>
        <w:t xml:space="preserve">For complaints or concerns about build-to-rent providers’ obligations </w:t>
      </w:r>
      <w:r w:rsidR="00F82E63">
        <w:rPr>
          <w:sz w:val="22"/>
          <w:szCs w:val="22"/>
        </w:rPr>
        <w:t>relating to the</w:t>
      </w:r>
      <w:r w:rsidR="005C4E08">
        <w:rPr>
          <w:sz w:val="22"/>
          <w:szCs w:val="22"/>
        </w:rPr>
        <w:t xml:space="preserve"> exclusion</w:t>
      </w:r>
      <w:r>
        <w:rPr>
          <w:sz w:val="22"/>
          <w:szCs w:val="22"/>
        </w:rPr>
        <w:t xml:space="preserve">, you can contact Te Tūāpapa Kura Kāinga at </w:t>
      </w:r>
      <w:hyperlink r:id="rId24" w:history="1">
        <w:r w:rsidR="007B1D55" w:rsidRPr="009E6045">
          <w:rPr>
            <w:rStyle w:val="Hyperlink"/>
            <w:sz w:val="22"/>
          </w:rPr>
          <w:t>BTR@hud.govt.nz</w:t>
        </w:r>
      </w:hyperlink>
      <w:r w:rsidR="007B1D55" w:rsidRPr="009E6045">
        <w:rPr>
          <w:sz w:val="22"/>
        </w:rPr>
        <w:t>.</w:t>
      </w:r>
      <w:r w:rsidR="007B1D55">
        <w:rPr>
          <w:sz w:val="22"/>
          <w:szCs w:val="22"/>
        </w:rPr>
        <w:t xml:space="preserve"> </w:t>
      </w:r>
    </w:p>
    <w:p w14:paraId="35AE6AF4" w14:textId="77777777" w:rsidR="00963B3E" w:rsidRPr="001E4DF5" w:rsidRDefault="00F96337" w:rsidP="004B49E1">
      <w:pPr>
        <w:pStyle w:val="HUDBody"/>
        <w:rPr>
          <w:sz w:val="22"/>
          <w:szCs w:val="22"/>
        </w:rPr>
      </w:pPr>
      <w:r>
        <w:rPr>
          <w:sz w:val="22"/>
          <w:szCs w:val="22"/>
        </w:rPr>
        <w:t>Complaints or concerns relating to breaches of the Residential Tenancies Act</w:t>
      </w:r>
      <w:r w:rsidR="003756CC">
        <w:rPr>
          <w:sz w:val="22"/>
          <w:szCs w:val="22"/>
        </w:rPr>
        <w:t xml:space="preserve"> 1986</w:t>
      </w:r>
      <w:r>
        <w:rPr>
          <w:sz w:val="22"/>
          <w:szCs w:val="22"/>
        </w:rPr>
        <w:t xml:space="preserve"> should be directed to Tenancy Services. You can find further information about how to do this online at </w:t>
      </w:r>
      <w:hyperlink r:id="rId25" w:history="1">
        <w:r w:rsidR="007B1D55" w:rsidRPr="009E6045">
          <w:rPr>
            <w:rStyle w:val="Hyperlink"/>
            <w:sz w:val="22"/>
          </w:rPr>
          <w:t>www.tenancy.govt.nz</w:t>
        </w:r>
      </w:hyperlink>
      <w:r w:rsidR="007B1D55" w:rsidRPr="009E6045">
        <w:rPr>
          <w:sz w:val="22"/>
        </w:rPr>
        <w:t>.</w:t>
      </w:r>
      <w:r w:rsidR="007B1D55">
        <w:rPr>
          <w:sz w:val="22"/>
          <w:szCs w:val="22"/>
        </w:rPr>
        <w:t xml:space="preserve"> </w:t>
      </w:r>
      <w:r w:rsidR="00963B3E">
        <w:rPr>
          <w:sz w:val="22"/>
          <w:szCs w:val="22"/>
        </w:rPr>
        <w:t xml:space="preserve"> </w:t>
      </w:r>
    </w:p>
    <w:sectPr w:rsidR="00963B3E" w:rsidRPr="001E4DF5" w:rsidSect="00FD6CE4">
      <w:type w:val="continuous"/>
      <w:pgSz w:w="11906" w:h="16838"/>
      <w:pgMar w:top="1440" w:right="991" w:bottom="851" w:left="993" w:header="708" w:footer="454"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BDC4" w14:textId="77777777" w:rsidR="00E130C6" w:rsidRDefault="00E130C6" w:rsidP="00856985">
      <w:pPr>
        <w:spacing w:after="0" w:line="240" w:lineRule="auto"/>
      </w:pPr>
      <w:r>
        <w:separator/>
      </w:r>
    </w:p>
  </w:endnote>
  <w:endnote w:type="continuationSeparator" w:id="0">
    <w:p w14:paraId="7C7AB719" w14:textId="77777777" w:rsidR="00E130C6" w:rsidRDefault="00E130C6" w:rsidP="00856985">
      <w:pPr>
        <w:spacing w:after="0" w:line="240" w:lineRule="auto"/>
      </w:pPr>
      <w:r>
        <w:continuationSeparator/>
      </w:r>
    </w:p>
  </w:endnote>
  <w:endnote w:type="continuationNotice" w:id="1">
    <w:p w14:paraId="4B38317A" w14:textId="77777777" w:rsidR="00E130C6" w:rsidRDefault="00E13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1000001" w:usb1="00000000" w:usb2="00000000" w:usb3="00000000" w:csb0="0001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FB49" w14:textId="77777777" w:rsidR="00A108B0" w:rsidRDefault="00A108B0">
    <w:pPr>
      <w:pStyle w:val="Footer"/>
    </w:pPr>
    <w:r>
      <w:rPr>
        <w:noProof/>
      </w:rPr>
      <mc:AlternateContent>
        <mc:Choice Requires="wps">
          <w:drawing>
            <wp:anchor distT="0" distB="0" distL="0" distR="0" simplePos="0" relativeHeight="251659264" behindDoc="0" locked="0" layoutInCell="1" allowOverlap="1" wp14:anchorId="0183CAE9" wp14:editId="380C0691">
              <wp:simplePos x="635" y="635"/>
              <wp:positionH relativeFrom="column">
                <wp:align>center</wp:align>
              </wp:positionH>
              <wp:positionV relativeFrom="paragraph">
                <wp:posOffset>635</wp:posOffset>
              </wp:positionV>
              <wp:extent cx="443865" cy="443865"/>
              <wp:effectExtent l="0" t="0" r="7620" b="17145"/>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3B080" w14:textId="77777777" w:rsidR="00A108B0" w:rsidRPr="00A108B0" w:rsidRDefault="00A108B0">
                          <w:pPr>
                            <w:rPr>
                              <w:rFonts w:ascii="Calibri" w:eastAsia="Calibri" w:hAnsi="Calibri" w:cs="Calibri"/>
                              <w:noProof/>
                              <w:color w:val="000000"/>
                              <w:sz w:val="20"/>
                              <w:szCs w:val="20"/>
                            </w:rPr>
                          </w:pPr>
                          <w:r w:rsidRPr="00A108B0">
                            <w:rPr>
                              <w:rFonts w:ascii="Calibri" w:eastAsia="Calibri" w:hAnsi="Calibri" w:cs="Calibri"/>
                              <w:noProof/>
                              <w:color w:val="000000"/>
                              <w:sz w:val="2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83CAE9" id="_x0000_t202" coordsize="21600,21600" o:spt="202" path="m,l,21600r21600,l21600,xe">
              <v:stroke joinstyle="miter"/>
              <v:path gradientshapeok="t" o:connecttype="rect"/>
            </v:shapetype>
            <v:shape id="_x0000_s1028"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FB3B080" w14:textId="77777777" w:rsidR="00A108B0" w:rsidRPr="00A108B0" w:rsidRDefault="00A108B0">
                    <w:pPr>
                      <w:rPr>
                        <w:rFonts w:ascii="Calibri" w:eastAsia="Calibri" w:hAnsi="Calibri" w:cs="Calibri"/>
                        <w:noProof/>
                        <w:color w:val="000000"/>
                        <w:sz w:val="20"/>
                        <w:szCs w:val="20"/>
                      </w:rPr>
                    </w:pPr>
                    <w:r w:rsidRPr="00A108B0">
                      <w:rPr>
                        <w:rFonts w:ascii="Calibri" w:eastAsia="Calibri" w:hAnsi="Calibri" w:cs="Calibri"/>
                        <w:noProof/>
                        <w:color w:val="000000"/>
                        <w:sz w:val="20"/>
                        <w:szCs w:val="20"/>
                      </w:rPr>
                      <w:t>[IN-CONFIDENCE]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03A0" w14:textId="77777777" w:rsidR="00A108B0" w:rsidRDefault="00A108B0">
    <w:pPr>
      <w:pStyle w:val="Footer"/>
    </w:pPr>
    <w:r>
      <w:rPr>
        <w:noProof/>
      </w:rPr>
      <mc:AlternateContent>
        <mc:Choice Requires="wps">
          <w:drawing>
            <wp:anchor distT="0" distB="0" distL="0" distR="0" simplePos="0" relativeHeight="251660288" behindDoc="0" locked="0" layoutInCell="1" allowOverlap="1" wp14:anchorId="4064ABD0" wp14:editId="71202646">
              <wp:simplePos x="628650" y="10239375"/>
              <wp:positionH relativeFrom="column">
                <wp:align>center</wp:align>
              </wp:positionH>
              <wp:positionV relativeFrom="paragraph">
                <wp:posOffset>635</wp:posOffset>
              </wp:positionV>
              <wp:extent cx="443865" cy="443865"/>
              <wp:effectExtent l="0" t="0" r="7620" b="17145"/>
              <wp:wrapSquare wrapText="bothSides"/>
              <wp:docPr id="3"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7D421" w14:textId="77777777" w:rsidR="00A108B0" w:rsidRPr="00A108B0" w:rsidRDefault="00A108B0">
                          <w:pPr>
                            <w:rPr>
                              <w:rFonts w:ascii="Calibri" w:eastAsia="Calibri" w:hAnsi="Calibri"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64ABD0" id="_x0000_t202" coordsize="21600,21600" o:spt="202" path="m,l,21600r21600,l21600,xe">
              <v:stroke joinstyle="miter"/>
              <v:path gradientshapeok="t" o:connecttype="rect"/>
            </v:shapetype>
            <v:shape id="Text Box 3" o:spid="_x0000_s1029" type="#_x0000_t202" alt="[IN-CONFIDENC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117D421" w14:textId="77777777" w:rsidR="00A108B0" w:rsidRPr="00A108B0" w:rsidRDefault="00A108B0">
                    <w:pPr>
                      <w:rPr>
                        <w:rFonts w:ascii="Calibri" w:eastAsia="Calibri" w:hAnsi="Calibri" w:cs="Calibri"/>
                        <w:noProof/>
                        <w:color w:val="000000"/>
                        <w:sz w:val="20"/>
                        <w:szCs w:val="20"/>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ABC8" w14:textId="77777777" w:rsidR="00A108B0" w:rsidRDefault="00A108B0">
    <w:pPr>
      <w:pStyle w:val="Footer"/>
    </w:pPr>
    <w:r>
      <w:rPr>
        <w:noProof/>
      </w:rPr>
      <mc:AlternateContent>
        <mc:Choice Requires="wps">
          <w:drawing>
            <wp:anchor distT="0" distB="0" distL="0" distR="0" simplePos="0" relativeHeight="251658240" behindDoc="0" locked="0" layoutInCell="1" allowOverlap="1" wp14:anchorId="796931DA" wp14:editId="53AA8416">
              <wp:simplePos x="628650" y="10239375"/>
              <wp:positionH relativeFrom="column">
                <wp:align>center</wp:align>
              </wp:positionH>
              <wp:positionV relativeFrom="paragraph">
                <wp:posOffset>635</wp:posOffset>
              </wp:positionV>
              <wp:extent cx="443865" cy="443865"/>
              <wp:effectExtent l="0" t="0" r="7620" b="17145"/>
              <wp:wrapSquare wrapText="bothSides"/>
              <wp:docPr id="1" name="Text Box 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179CD" w14:textId="77777777" w:rsidR="00A108B0" w:rsidRPr="00A108B0" w:rsidRDefault="00A108B0">
                          <w:pPr>
                            <w:rPr>
                              <w:rFonts w:ascii="Calibri" w:eastAsia="Calibri" w:hAnsi="Calibri" w:cs="Calibri"/>
                              <w:noProof/>
                              <w:color w:val="000000"/>
                              <w:sz w:val="20"/>
                              <w:szCs w:val="20"/>
                            </w:rPr>
                          </w:pPr>
                          <w:r w:rsidRPr="00A108B0">
                            <w:rPr>
                              <w:rFonts w:ascii="Calibri" w:eastAsia="Calibri" w:hAnsi="Calibri" w:cs="Calibri"/>
                              <w:noProof/>
                              <w:color w:val="000000"/>
                              <w:sz w:val="2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931DA" id="_x0000_t202" coordsize="21600,21600" o:spt="202" path="m,l,21600r21600,l21600,xe">
              <v:stroke joinstyle="miter"/>
              <v:path gradientshapeok="t" o:connecttype="rect"/>
            </v:shapetype>
            <v:shape id="Text Box 1" o:spid="_x0000_s1030"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FD179CD" w14:textId="77777777" w:rsidR="00A108B0" w:rsidRPr="00A108B0" w:rsidRDefault="00A108B0">
                    <w:pPr>
                      <w:rPr>
                        <w:rFonts w:ascii="Calibri" w:eastAsia="Calibri" w:hAnsi="Calibri" w:cs="Calibri"/>
                        <w:noProof/>
                        <w:color w:val="000000"/>
                        <w:sz w:val="20"/>
                        <w:szCs w:val="20"/>
                      </w:rPr>
                    </w:pPr>
                    <w:r w:rsidRPr="00A108B0">
                      <w:rPr>
                        <w:rFonts w:ascii="Calibri" w:eastAsia="Calibri" w:hAnsi="Calibri" w:cs="Calibri"/>
                        <w:noProof/>
                        <w:color w:val="000000"/>
                        <w:sz w:val="20"/>
                        <w:szCs w:val="20"/>
                      </w:rPr>
                      <w:t>[IN-CONFIDENCE]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01DB" w14:textId="77777777" w:rsidR="00E130C6" w:rsidRDefault="00E130C6" w:rsidP="00856985">
      <w:pPr>
        <w:spacing w:after="0" w:line="240" w:lineRule="auto"/>
      </w:pPr>
      <w:r>
        <w:separator/>
      </w:r>
    </w:p>
  </w:footnote>
  <w:footnote w:type="continuationSeparator" w:id="0">
    <w:p w14:paraId="1E202A1A" w14:textId="77777777" w:rsidR="00E130C6" w:rsidRDefault="00E130C6" w:rsidP="00856985">
      <w:pPr>
        <w:spacing w:after="0" w:line="240" w:lineRule="auto"/>
      </w:pPr>
      <w:r>
        <w:continuationSeparator/>
      </w:r>
    </w:p>
  </w:footnote>
  <w:footnote w:type="continuationNotice" w:id="1">
    <w:p w14:paraId="23AE3A09" w14:textId="77777777" w:rsidR="00E130C6" w:rsidRDefault="00E130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C27"/>
    <w:multiLevelType w:val="hybridMultilevel"/>
    <w:tmpl w:val="19124794"/>
    <w:lvl w:ilvl="0" w:tplc="14090001">
      <w:start w:val="1"/>
      <w:numFmt w:val="bullet"/>
      <w:lvlText w:val=""/>
      <w:lvlJc w:val="left"/>
      <w:pPr>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164139"/>
    <w:multiLevelType w:val="hybridMultilevel"/>
    <w:tmpl w:val="F5787F3C"/>
    <w:lvl w:ilvl="0" w:tplc="F78E8AF4">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D536B8"/>
    <w:multiLevelType w:val="hybridMultilevel"/>
    <w:tmpl w:val="57688EA4"/>
    <w:lvl w:ilvl="0" w:tplc="F78E8AF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D573AD"/>
    <w:multiLevelType w:val="hybridMultilevel"/>
    <w:tmpl w:val="65F49ED0"/>
    <w:lvl w:ilvl="0" w:tplc="FB569E7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E245EF"/>
    <w:multiLevelType w:val="multilevel"/>
    <w:tmpl w:val="ABCEAF62"/>
    <w:numStyleLink w:val="HUDR"/>
  </w:abstractNum>
  <w:abstractNum w:abstractNumId="5" w15:restartNumberingAfterBreak="0">
    <w:nsid w:val="16961B56"/>
    <w:multiLevelType w:val="hybridMultilevel"/>
    <w:tmpl w:val="F89C37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9542BE"/>
    <w:multiLevelType w:val="multilevel"/>
    <w:tmpl w:val="ABCEAF62"/>
    <w:numStyleLink w:val="HUDR"/>
  </w:abstractNum>
  <w:abstractNum w:abstractNumId="7" w15:restartNumberingAfterBreak="0">
    <w:nsid w:val="1AB5576F"/>
    <w:multiLevelType w:val="multilevel"/>
    <w:tmpl w:val="ABCEAF62"/>
    <w:styleLink w:val="HUDR"/>
    <w:lvl w:ilvl="0">
      <w:start w:val="1"/>
      <w:numFmt w:val="decimal"/>
      <w:pStyle w:val="HUDRecommended"/>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94" w:hanging="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4F49F6"/>
    <w:multiLevelType w:val="multilevel"/>
    <w:tmpl w:val="B2FE5E62"/>
    <w:styleLink w:val="HUDL"/>
    <w:lvl w:ilvl="0">
      <w:start w:val="1"/>
      <w:numFmt w:val="decimal"/>
      <w:pStyle w:val="CabList"/>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74" w:hanging="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AD2218"/>
    <w:multiLevelType w:val="hybridMultilevel"/>
    <w:tmpl w:val="4BF214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8E6CC4"/>
    <w:multiLevelType w:val="hybridMultilevel"/>
    <w:tmpl w:val="B980FE22"/>
    <w:lvl w:ilvl="0" w:tplc="F78E8AF4">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323A01"/>
    <w:multiLevelType w:val="hybridMultilevel"/>
    <w:tmpl w:val="FCC6EE82"/>
    <w:lvl w:ilvl="0" w:tplc="F78E8AF4">
      <w:start w:val="1"/>
      <w:numFmt w:val="bullet"/>
      <w:lvlText w:val=""/>
      <w:lvlJc w:val="left"/>
      <w:pPr>
        <w:ind w:left="357" w:hanging="357"/>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07E1B70"/>
    <w:multiLevelType w:val="multilevel"/>
    <w:tmpl w:val="5C663010"/>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552" w:hanging="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531B21"/>
    <w:multiLevelType w:val="multilevel"/>
    <w:tmpl w:val="8446F07A"/>
    <w:lvl w:ilvl="0">
      <w:start w:val="1"/>
      <w:numFmt w:val="decimal"/>
      <w:pStyle w:val="HUDList"/>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1218FC"/>
    <w:multiLevelType w:val="multilevel"/>
    <w:tmpl w:val="ABCEAF62"/>
    <w:numStyleLink w:val="HUDR"/>
  </w:abstractNum>
  <w:abstractNum w:abstractNumId="15" w15:restartNumberingAfterBreak="0">
    <w:nsid w:val="45AE6746"/>
    <w:multiLevelType w:val="hybridMultilevel"/>
    <w:tmpl w:val="4CA0F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524FE2"/>
    <w:multiLevelType w:val="hybridMultilevel"/>
    <w:tmpl w:val="B30C4B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87503C6"/>
    <w:multiLevelType w:val="multilevel"/>
    <w:tmpl w:val="0DE67746"/>
    <w:lvl w:ilvl="0">
      <w:start w:val="1"/>
      <w:numFmt w:val="bullet"/>
      <w:lvlText w:val=""/>
      <w:lvlJc w:val="left"/>
      <w:pPr>
        <w:ind w:left="1440" w:hanging="720"/>
      </w:pPr>
      <w:rPr>
        <w:rFonts w:ascii="Symbol" w:hAnsi="Symbol" w:hint="default"/>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18885" w:hanging="360"/>
      </w:pPr>
      <w:rPr>
        <w:rFonts w:ascii="Symbol" w:hAnsi="Symbol" w:hint="default"/>
      </w:rPr>
    </w:lvl>
    <w:lvl w:ilvl="4">
      <w:start w:val="1"/>
      <w:numFmt w:val="bullet"/>
      <w:lvlText w:val="o"/>
      <w:lvlJc w:val="left"/>
      <w:pPr>
        <w:ind w:left="19605" w:hanging="360"/>
      </w:pPr>
      <w:rPr>
        <w:rFonts w:ascii="Courier New" w:hAnsi="Courier New" w:cs="Courier New" w:hint="default"/>
      </w:rPr>
    </w:lvl>
    <w:lvl w:ilvl="5">
      <w:start w:val="1"/>
      <w:numFmt w:val="bullet"/>
      <w:lvlText w:val=""/>
      <w:lvlJc w:val="left"/>
      <w:pPr>
        <w:ind w:left="20325" w:hanging="360"/>
      </w:pPr>
      <w:rPr>
        <w:rFonts w:ascii="Wingdings" w:hAnsi="Wingdings" w:hint="default"/>
      </w:rPr>
    </w:lvl>
    <w:lvl w:ilvl="6">
      <w:start w:val="1"/>
      <w:numFmt w:val="bullet"/>
      <w:lvlText w:val=""/>
      <w:lvlJc w:val="left"/>
      <w:pPr>
        <w:ind w:left="21045" w:hanging="360"/>
      </w:pPr>
      <w:rPr>
        <w:rFonts w:ascii="Symbol" w:hAnsi="Symbol" w:hint="default"/>
      </w:rPr>
    </w:lvl>
    <w:lvl w:ilvl="7">
      <w:start w:val="1"/>
      <w:numFmt w:val="bullet"/>
      <w:lvlText w:val="o"/>
      <w:lvlJc w:val="left"/>
      <w:pPr>
        <w:ind w:left="21765" w:hanging="360"/>
      </w:pPr>
      <w:rPr>
        <w:rFonts w:ascii="Courier New" w:hAnsi="Courier New" w:cs="Courier New" w:hint="default"/>
      </w:rPr>
    </w:lvl>
    <w:lvl w:ilvl="8">
      <w:start w:val="1"/>
      <w:numFmt w:val="bullet"/>
      <w:lvlText w:val=""/>
      <w:lvlJc w:val="left"/>
      <w:pPr>
        <w:ind w:left="22485" w:hanging="360"/>
      </w:pPr>
      <w:rPr>
        <w:rFonts w:ascii="Wingdings" w:hAnsi="Wingdings" w:hint="default"/>
      </w:rPr>
    </w:lvl>
  </w:abstractNum>
  <w:abstractNum w:abstractNumId="18" w15:restartNumberingAfterBreak="0">
    <w:nsid w:val="4A241848"/>
    <w:multiLevelType w:val="hybridMultilevel"/>
    <w:tmpl w:val="69C629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C2F62F9"/>
    <w:multiLevelType w:val="multilevel"/>
    <w:tmpl w:val="ABCEAF62"/>
    <w:numStyleLink w:val="HUDR"/>
  </w:abstractNum>
  <w:abstractNum w:abstractNumId="20" w15:restartNumberingAfterBreak="0">
    <w:nsid w:val="4DAE5164"/>
    <w:multiLevelType w:val="multilevel"/>
    <w:tmpl w:val="ABCEAF62"/>
    <w:numStyleLink w:val="HUDR"/>
  </w:abstractNum>
  <w:abstractNum w:abstractNumId="21" w15:restartNumberingAfterBreak="0">
    <w:nsid w:val="51E5006E"/>
    <w:multiLevelType w:val="multilevel"/>
    <w:tmpl w:val="B2FE5E62"/>
    <w:numStyleLink w:val="HUDL"/>
  </w:abstractNum>
  <w:abstractNum w:abstractNumId="22" w15:restartNumberingAfterBreak="0">
    <w:nsid w:val="52110B30"/>
    <w:multiLevelType w:val="hybridMultilevel"/>
    <w:tmpl w:val="8A1E2510"/>
    <w:lvl w:ilvl="0" w:tplc="24BCB448">
      <w:start w:val="1"/>
      <w:numFmt w:val="bullet"/>
      <w:pStyle w:val="HUDBullets"/>
      <w:lvlText w:val=""/>
      <w:lvlJc w:val="left"/>
      <w:pPr>
        <w:ind w:left="1146" w:hanging="720"/>
      </w:pPr>
      <w:rPr>
        <w:rFonts w:ascii="Symbol" w:hAnsi="Symbol" w:hint="default"/>
      </w:rPr>
    </w:lvl>
    <w:lvl w:ilvl="1" w:tplc="898EB438">
      <w:start w:val="1"/>
      <w:numFmt w:val="bullet"/>
      <w:lvlText w:val="o"/>
      <w:lvlJc w:val="left"/>
      <w:pPr>
        <w:ind w:left="1866" w:hanging="720"/>
      </w:pPr>
      <w:rPr>
        <w:rFonts w:ascii="Courier New" w:hAnsi="Courier New" w:hint="default"/>
      </w:rPr>
    </w:lvl>
    <w:lvl w:ilvl="2" w:tplc="DA3811F6">
      <w:start w:val="1"/>
      <w:numFmt w:val="bullet"/>
      <w:lvlText w:val=""/>
      <w:lvlJc w:val="left"/>
      <w:pPr>
        <w:ind w:left="2586" w:hanging="720"/>
      </w:pPr>
      <w:rPr>
        <w:rFonts w:ascii="Wingdings" w:hAnsi="Wingdings" w:hint="default"/>
      </w:rPr>
    </w:lvl>
    <w:lvl w:ilvl="3" w:tplc="14090001" w:tentative="1">
      <w:start w:val="1"/>
      <w:numFmt w:val="bullet"/>
      <w:lvlText w:val=""/>
      <w:lvlJc w:val="left"/>
      <w:pPr>
        <w:ind w:left="4514" w:hanging="360"/>
      </w:pPr>
      <w:rPr>
        <w:rFonts w:ascii="Symbol" w:hAnsi="Symbol" w:hint="default"/>
      </w:rPr>
    </w:lvl>
    <w:lvl w:ilvl="4" w:tplc="14090003" w:tentative="1">
      <w:start w:val="1"/>
      <w:numFmt w:val="bullet"/>
      <w:lvlText w:val="o"/>
      <w:lvlJc w:val="left"/>
      <w:pPr>
        <w:ind w:left="5234" w:hanging="360"/>
      </w:pPr>
      <w:rPr>
        <w:rFonts w:ascii="Courier New" w:hAnsi="Courier New" w:cs="Courier New" w:hint="default"/>
      </w:rPr>
    </w:lvl>
    <w:lvl w:ilvl="5" w:tplc="14090005" w:tentative="1">
      <w:start w:val="1"/>
      <w:numFmt w:val="bullet"/>
      <w:lvlText w:val=""/>
      <w:lvlJc w:val="left"/>
      <w:pPr>
        <w:ind w:left="5954" w:hanging="360"/>
      </w:pPr>
      <w:rPr>
        <w:rFonts w:ascii="Wingdings" w:hAnsi="Wingdings" w:hint="default"/>
      </w:rPr>
    </w:lvl>
    <w:lvl w:ilvl="6" w:tplc="14090001" w:tentative="1">
      <w:start w:val="1"/>
      <w:numFmt w:val="bullet"/>
      <w:lvlText w:val=""/>
      <w:lvlJc w:val="left"/>
      <w:pPr>
        <w:ind w:left="6674" w:hanging="360"/>
      </w:pPr>
      <w:rPr>
        <w:rFonts w:ascii="Symbol" w:hAnsi="Symbol" w:hint="default"/>
      </w:rPr>
    </w:lvl>
    <w:lvl w:ilvl="7" w:tplc="14090003" w:tentative="1">
      <w:start w:val="1"/>
      <w:numFmt w:val="bullet"/>
      <w:lvlText w:val="o"/>
      <w:lvlJc w:val="left"/>
      <w:pPr>
        <w:ind w:left="7394" w:hanging="360"/>
      </w:pPr>
      <w:rPr>
        <w:rFonts w:ascii="Courier New" w:hAnsi="Courier New" w:cs="Courier New" w:hint="default"/>
      </w:rPr>
    </w:lvl>
    <w:lvl w:ilvl="8" w:tplc="14090005" w:tentative="1">
      <w:start w:val="1"/>
      <w:numFmt w:val="bullet"/>
      <w:lvlText w:val=""/>
      <w:lvlJc w:val="left"/>
      <w:pPr>
        <w:ind w:left="8114" w:hanging="360"/>
      </w:pPr>
      <w:rPr>
        <w:rFonts w:ascii="Wingdings" w:hAnsi="Wingdings" w:hint="default"/>
      </w:rPr>
    </w:lvl>
  </w:abstractNum>
  <w:abstractNum w:abstractNumId="23" w15:restartNumberingAfterBreak="0">
    <w:nsid w:val="55FF5665"/>
    <w:multiLevelType w:val="hybridMultilevel"/>
    <w:tmpl w:val="56289BA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8AB6842"/>
    <w:multiLevelType w:val="hybridMultilevel"/>
    <w:tmpl w:val="E97CF8AC"/>
    <w:lvl w:ilvl="0" w:tplc="97203400">
      <w:start w:val="1"/>
      <w:numFmt w:val="decimal"/>
      <w:lvlText w:val="%1."/>
      <w:lvlJc w:val="left"/>
      <w:pPr>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4C36271"/>
    <w:multiLevelType w:val="multilevel"/>
    <w:tmpl w:val="B2FE5E62"/>
    <w:numStyleLink w:val="HUDL"/>
  </w:abstractNum>
  <w:abstractNum w:abstractNumId="26" w15:restartNumberingAfterBreak="0">
    <w:nsid w:val="665B7401"/>
    <w:multiLevelType w:val="multilevel"/>
    <w:tmpl w:val="ABCEAF62"/>
    <w:numStyleLink w:val="HUDR"/>
  </w:abstractNum>
  <w:abstractNum w:abstractNumId="27" w15:restartNumberingAfterBreak="0">
    <w:nsid w:val="73473612"/>
    <w:multiLevelType w:val="multilevel"/>
    <w:tmpl w:val="B2FE5E62"/>
    <w:numStyleLink w:val="HUDL"/>
  </w:abstractNum>
  <w:abstractNum w:abstractNumId="28" w15:restartNumberingAfterBreak="0">
    <w:nsid w:val="746B0808"/>
    <w:multiLevelType w:val="hybridMultilevel"/>
    <w:tmpl w:val="E4203438"/>
    <w:lvl w:ilvl="0" w:tplc="F78E8AF4">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FB504A4"/>
    <w:multiLevelType w:val="multilevel"/>
    <w:tmpl w:val="B2FE5E62"/>
    <w:numStyleLink w:val="HUDL"/>
  </w:abstractNum>
  <w:num w:numId="1" w16cid:durableId="2026783112">
    <w:abstractNumId w:val="3"/>
  </w:num>
  <w:num w:numId="2" w16cid:durableId="960455748">
    <w:abstractNumId w:val="18"/>
  </w:num>
  <w:num w:numId="3" w16cid:durableId="537014265">
    <w:abstractNumId w:val="0"/>
  </w:num>
  <w:num w:numId="4" w16cid:durableId="1228765604">
    <w:abstractNumId w:val="9"/>
  </w:num>
  <w:num w:numId="5" w16cid:durableId="91359679">
    <w:abstractNumId w:val="2"/>
  </w:num>
  <w:num w:numId="6" w16cid:durableId="1558009075">
    <w:abstractNumId w:val="23"/>
  </w:num>
  <w:num w:numId="7" w16cid:durableId="1948196579">
    <w:abstractNumId w:val="11"/>
  </w:num>
  <w:num w:numId="8" w16cid:durableId="677925347">
    <w:abstractNumId w:val="10"/>
  </w:num>
  <w:num w:numId="9" w16cid:durableId="1707102034">
    <w:abstractNumId w:val="1"/>
  </w:num>
  <w:num w:numId="10" w16cid:durableId="259994399">
    <w:abstractNumId w:val="28"/>
  </w:num>
  <w:num w:numId="11" w16cid:durableId="256401835">
    <w:abstractNumId w:val="16"/>
  </w:num>
  <w:num w:numId="12" w16cid:durableId="1053654712">
    <w:abstractNumId w:val="21"/>
  </w:num>
  <w:num w:numId="13" w16cid:durableId="1860466978">
    <w:abstractNumId w:val="24"/>
  </w:num>
  <w:num w:numId="14" w16cid:durableId="296226600">
    <w:abstractNumId w:val="27"/>
  </w:num>
  <w:num w:numId="15" w16cid:durableId="215632891">
    <w:abstractNumId w:val="21"/>
    <w:lvlOverride w:ilvl="0">
      <w:startOverride w:val="1"/>
    </w:lvlOverride>
  </w:num>
  <w:num w:numId="16" w16cid:durableId="1060516487">
    <w:abstractNumId w:val="7"/>
  </w:num>
  <w:num w:numId="17" w16cid:durableId="1581671093">
    <w:abstractNumId w:val="8"/>
  </w:num>
  <w:num w:numId="18" w16cid:durableId="1257666012">
    <w:abstractNumId w:val="14"/>
  </w:num>
  <w:num w:numId="19" w16cid:durableId="481579609">
    <w:abstractNumId w:val="25"/>
  </w:num>
  <w:num w:numId="20" w16cid:durableId="1228494514">
    <w:abstractNumId w:val="29"/>
  </w:num>
  <w:num w:numId="21" w16cid:durableId="1796943529">
    <w:abstractNumId w:val="6"/>
  </w:num>
  <w:num w:numId="22" w16cid:durableId="13642117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886409">
    <w:abstractNumId w:val="4"/>
  </w:num>
  <w:num w:numId="24" w16cid:durableId="1823422348">
    <w:abstractNumId w:val="22"/>
  </w:num>
  <w:num w:numId="25" w16cid:durableId="11101269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3797517">
    <w:abstractNumId w:val="19"/>
  </w:num>
  <w:num w:numId="27" w16cid:durableId="1471898867">
    <w:abstractNumId w:val="12"/>
  </w:num>
  <w:num w:numId="28" w16cid:durableId="987368028">
    <w:abstractNumId w:val="20"/>
  </w:num>
  <w:num w:numId="29" w16cid:durableId="1873838023">
    <w:abstractNumId w:val="22"/>
    <w:lvlOverride w:ilvl="0">
      <w:startOverride w:val="1"/>
    </w:lvlOverride>
  </w:num>
  <w:num w:numId="30" w16cid:durableId="655032361">
    <w:abstractNumId w:val="17"/>
  </w:num>
  <w:num w:numId="31" w16cid:durableId="1624078050">
    <w:abstractNumId w:val="13"/>
  </w:num>
  <w:num w:numId="32" w16cid:durableId="1052193302">
    <w:abstractNumId w:val="17"/>
    <w:lvlOverride w:ilvl="0">
      <w:startOverride w:val="1"/>
    </w:lvlOverride>
  </w:num>
  <w:num w:numId="33" w16cid:durableId="1504314790">
    <w:abstractNumId w:val="26"/>
  </w:num>
  <w:num w:numId="34" w16cid:durableId="1239364400">
    <w:abstractNumId w:val="5"/>
  </w:num>
  <w:num w:numId="35" w16cid:durableId="1955936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C6"/>
    <w:rsid w:val="00017ADF"/>
    <w:rsid w:val="00050B22"/>
    <w:rsid w:val="000565A9"/>
    <w:rsid w:val="000A1C51"/>
    <w:rsid w:val="000B1323"/>
    <w:rsid w:val="000B2617"/>
    <w:rsid w:val="000D5CEE"/>
    <w:rsid w:val="00120EB1"/>
    <w:rsid w:val="00123986"/>
    <w:rsid w:val="0012776F"/>
    <w:rsid w:val="00133AF8"/>
    <w:rsid w:val="00136361"/>
    <w:rsid w:val="00146420"/>
    <w:rsid w:val="00163C07"/>
    <w:rsid w:val="0016450B"/>
    <w:rsid w:val="00166D70"/>
    <w:rsid w:val="001A1EC1"/>
    <w:rsid w:val="001A5A4F"/>
    <w:rsid w:val="001D3E2E"/>
    <w:rsid w:val="001E31EA"/>
    <w:rsid w:val="001E4DF5"/>
    <w:rsid w:val="00207C9D"/>
    <w:rsid w:val="0023023A"/>
    <w:rsid w:val="002321B9"/>
    <w:rsid w:val="002359EA"/>
    <w:rsid w:val="002474F8"/>
    <w:rsid w:val="002767CB"/>
    <w:rsid w:val="00281703"/>
    <w:rsid w:val="002833BE"/>
    <w:rsid w:val="002844A3"/>
    <w:rsid w:val="002A12EE"/>
    <w:rsid w:val="002A6E33"/>
    <w:rsid w:val="002B3B3D"/>
    <w:rsid w:val="002C6078"/>
    <w:rsid w:val="002D0037"/>
    <w:rsid w:val="002E165C"/>
    <w:rsid w:val="002F7637"/>
    <w:rsid w:val="0031407D"/>
    <w:rsid w:val="0031741B"/>
    <w:rsid w:val="00337ECC"/>
    <w:rsid w:val="00363267"/>
    <w:rsid w:val="003756CC"/>
    <w:rsid w:val="00392647"/>
    <w:rsid w:val="003A69AD"/>
    <w:rsid w:val="003A6CFD"/>
    <w:rsid w:val="003B050E"/>
    <w:rsid w:val="003B74A3"/>
    <w:rsid w:val="003D482F"/>
    <w:rsid w:val="003E546A"/>
    <w:rsid w:val="003F0E26"/>
    <w:rsid w:val="003F2C66"/>
    <w:rsid w:val="003F5AB0"/>
    <w:rsid w:val="00404090"/>
    <w:rsid w:val="00404918"/>
    <w:rsid w:val="00436E44"/>
    <w:rsid w:val="00445458"/>
    <w:rsid w:val="00446AF1"/>
    <w:rsid w:val="0046496A"/>
    <w:rsid w:val="00466C43"/>
    <w:rsid w:val="004B30D8"/>
    <w:rsid w:val="004B370F"/>
    <w:rsid w:val="004B49B2"/>
    <w:rsid w:val="004B49E1"/>
    <w:rsid w:val="004C409C"/>
    <w:rsid w:val="004D2251"/>
    <w:rsid w:val="004E36E1"/>
    <w:rsid w:val="004E36FD"/>
    <w:rsid w:val="004E3B87"/>
    <w:rsid w:val="004F2533"/>
    <w:rsid w:val="004F5088"/>
    <w:rsid w:val="00520D17"/>
    <w:rsid w:val="00531095"/>
    <w:rsid w:val="00541122"/>
    <w:rsid w:val="00550613"/>
    <w:rsid w:val="0055122A"/>
    <w:rsid w:val="00566A3F"/>
    <w:rsid w:val="00583872"/>
    <w:rsid w:val="005935EC"/>
    <w:rsid w:val="005A7203"/>
    <w:rsid w:val="005B587D"/>
    <w:rsid w:val="005C4C90"/>
    <w:rsid w:val="005C4E08"/>
    <w:rsid w:val="005D057D"/>
    <w:rsid w:val="005D1A8D"/>
    <w:rsid w:val="005F095A"/>
    <w:rsid w:val="00631BE2"/>
    <w:rsid w:val="00635593"/>
    <w:rsid w:val="00657597"/>
    <w:rsid w:val="006743D4"/>
    <w:rsid w:val="006A1463"/>
    <w:rsid w:val="006A335C"/>
    <w:rsid w:val="006A5F72"/>
    <w:rsid w:val="006B0509"/>
    <w:rsid w:val="006C496C"/>
    <w:rsid w:val="00715FF3"/>
    <w:rsid w:val="00726A94"/>
    <w:rsid w:val="007363C1"/>
    <w:rsid w:val="00740BBC"/>
    <w:rsid w:val="00742DBE"/>
    <w:rsid w:val="00752A28"/>
    <w:rsid w:val="00753185"/>
    <w:rsid w:val="0077212D"/>
    <w:rsid w:val="007851E3"/>
    <w:rsid w:val="00790228"/>
    <w:rsid w:val="007A0463"/>
    <w:rsid w:val="007B1D55"/>
    <w:rsid w:val="007B36C4"/>
    <w:rsid w:val="007C4F51"/>
    <w:rsid w:val="007E717D"/>
    <w:rsid w:val="007E78A8"/>
    <w:rsid w:val="00800F82"/>
    <w:rsid w:val="008052D7"/>
    <w:rsid w:val="00805DE8"/>
    <w:rsid w:val="008230E0"/>
    <w:rsid w:val="00834527"/>
    <w:rsid w:val="008348EB"/>
    <w:rsid w:val="00836C4A"/>
    <w:rsid w:val="00856985"/>
    <w:rsid w:val="00862FE6"/>
    <w:rsid w:val="008A3EAE"/>
    <w:rsid w:val="008A4B86"/>
    <w:rsid w:val="008C625D"/>
    <w:rsid w:val="008D2964"/>
    <w:rsid w:val="008D35D5"/>
    <w:rsid w:val="008D4524"/>
    <w:rsid w:val="00917B01"/>
    <w:rsid w:val="00931AB7"/>
    <w:rsid w:val="00940596"/>
    <w:rsid w:val="00941724"/>
    <w:rsid w:val="00942C8D"/>
    <w:rsid w:val="00956865"/>
    <w:rsid w:val="00963B3E"/>
    <w:rsid w:val="009D3F18"/>
    <w:rsid w:val="009E6045"/>
    <w:rsid w:val="00A108B0"/>
    <w:rsid w:val="00A12C27"/>
    <w:rsid w:val="00A44709"/>
    <w:rsid w:val="00A44E1B"/>
    <w:rsid w:val="00A53602"/>
    <w:rsid w:val="00A56D50"/>
    <w:rsid w:val="00A648EC"/>
    <w:rsid w:val="00A65F63"/>
    <w:rsid w:val="00A728C0"/>
    <w:rsid w:val="00AD0F5A"/>
    <w:rsid w:val="00AE3E5D"/>
    <w:rsid w:val="00AE4099"/>
    <w:rsid w:val="00AE4227"/>
    <w:rsid w:val="00AF3807"/>
    <w:rsid w:val="00AF7D29"/>
    <w:rsid w:val="00B06C0C"/>
    <w:rsid w:val="00B07C23"/>
    <w:rsid w:val="00B109FD"/>
    <w:rsid w:val="00B260DC"/>
    <w:rsid w:val="00B30DD6"/>
    <w:rsid w:val="00B32289"/>
    <w:rsid w:val="00B62BC0"/>
    <w:rsid w:val="00B76529"/>
    <w:rsid w:val="00B765C9"/>
    <w:rsid w:val="00B811BE"/>
    <w:rsid w:val="00B8530D"/>
    <w:rsid w:val="00B94EB3"/>
    <w:rsid w:val="00BB44B5"/>
    <w:rsid w:val="00BC7AE5"/>
    <w:rsid w:val="00BE3C70"/>
    <w:rsid w:val="00BF429C"/>
    <w:rsid w:val="00C13D44"/>
    <w:rsid w:val="00C16CD8"/>
    <w:rsid w:val="00C216AA"/>
    <w:rsid w:val="00C265DF"/>
    <w:rsid w:val="00C2691F"/>
    <w:rsid w:val="00C32BDC"/>
    <w:rsid w:val="00C37AC2"/>
    <w:rsid w:val="00C40638"/>
    <w:rsid w:val="00C42E79"/>
    <w:rsid w:val="00CC0ADB"/>
    <w:rsid w:val="00CD7898"/>
    <w:rsid w:val="00CF6491"/>
    <w:rsid w:val="00D32384"/>
    <w:rsid w:val="00D51003"/>
    <w:rsid w:val="00D65679"/>
    <w:rsid w:val="00D67782"/>
    <w:rsid w:val="00D8435B"/>
    <w:rsid w:val="00DA201A"/>
    <w:rsid w:val="00DD4777"/>
    <w:rsid w:val="00DD6747"/>
    <w:rsid w:val="00E04D31"/>
    <w:rsid w:val="00E05BE5"/>
    <w:rsid w:val="00E130C6"/>
    <w:rsid w:val="00E16483"/>
    <w:rsid w:val="00E25C51"/>
    <w:rsid w:val="00E3115C"/>
    <w:rsid w:val="00E33B1C"/>
    <w:rsid w:val="00E51D38"/>
    <w:rsid w:val="00E65C18"/>
    <w:rsid w:val="00E81523"/>
    <w:rsid w:val="00EA2819"/>
    <w:rsid w:val="00EA5892"/>
    <w:rsid w:val="00EB6AB9"/>
    <w:rsid w:val="00ED5B86"/>
    <w:rsid w:val="00ED6BB6"/>
    <w:rsid w:val="00F00245"/>
    <w:rsid w:val="00F053A2"/>
    <w:rsid w:val="00F10B92"/>
    <w:rsid w:val="00F11811"/>
    <w:rsid w:val="00F17C41"/>
    <w:rsid w:val="00F47DB0"/>
    <w:rsid w:val="00F5456E"/>
    <w:rsid w:val="00F5585D"/>
    <w:rsid w:val="00F623C3"/>
    <w:rsid w:val="00F672FD"/>
    <w:rsid w:val="00F77239"/>
    <w:rsid w:val="00F82E63"/>
    <w:rsid w:val="00F86AEF"/>
    <w:rsid w:val="00F92FB6"/>
    <w:rsid w:val="00F93043"/>
    <w:rsid w:val="00F96337"/>
    <w:rsid w:val="00F97424"/>
    <w:rsid w:val="00F97A6D"/>
    <w:rsid w:val="00FA4853"/>
    <w:rsid w:val="00FB5BA2"/>
    <w:rsid w:val="00FC0613"/>
    <w:rsid w:val="00FC378C"/>
    <w:rsid w:val="00FC3ABF"/>
    <w:rsid w:val="00FC675A"/>
    <w:rsid w:val="00FD6CE4"/>
    <w:rsid w:val="00FE0E7C"/>
    <w:rsid w:val="00FE5C2F"/>
    <w:rsid w:val="00FE7D1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9EA3C"/>
  <w15:chartTrackingRefBased/>
  <w15:docId w15:val="{1A8A9848-7A82-476C-AFC2-A982636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5C51"/>
  </w:style>
  <w:style w:type="paragraph" w:styleId="Heading1">
    <w:name w:val="heading 1"/>
    <w:basedOn w:val="Normal"/>
    <w:next w:val="Normal"/>
    <w:link w:val="Heading1Char"/>
    <w:uiPriority w:val="9"/>
    <w:semiHidden/>
    <w:qFormat/>
    <w:rsid w:val="00EA5892"/>
    <w:pPr>
      <w:spacing w:after="560" w:line="1440" w:lineRule="exact"/>
      <w:contextualSpacing/>
      <w:outlineLvl w:val="0"/>
    </w:pPr>
    <w:rPr>
      <w:sz w:val="120"/>
      <w:szCs w:val="120"/>
      <w:lang w:val="mi-NZ"/>
    </w:rPr>
  </w:style>
  <w:style w:type="paragraph" w:styleId="Heading2">
    <w:name w:val="heading 2"/>
    <w:basedOn w:val="Normal"/>
    <w:next w:val="Normal"/>
    <w:link w:val="Heading2Char"/>
    <w:uiPriority w:val="9"/>
    <w:semiHidden/>
    <w:qFormat/>
    <w:rsid w:val="004B49B2"/>
    <w:pPr>
      <w:outlineLvl w:val="1"/>
    </w:pPr>
    <w:rPr>
      <w:b/>
      <w:color w:val="003E52" w:themeColor="text2"/>
      <w:sz w:val="36"/>
      <w:szCs w:val="36"/>
    </w:rPr>
  </w:style>
  <w:style w:type="paragraph" w:styleId="Heading3">
    <w:name w:val="heading 3"/>
    <w:basedOn w:val="Normal"/>
    <w:next w:val="Normal"/>
    <w:link w:val="Heading3Char"/>
    <w:uiPriority w:val="9"/>
    <w:semiHidden/>
    <w:qFormat/>
    <w:rsid w:val="00E81523"/>
    <w:pPr>
      <w:spacing w:after="0" w:line="240" w:lineRule="auto"/>
      <w:outlineLvl w:val="2"/>
    </w:pPr>
    <w:rPr>
      <w:b/>
      <w:caps/>
      <w:sz w:val="24"/>
      <w:szCs w:val="24"/>
    </w:rPr>
  </w:style>
  <w:style w:type="paragraph" w:styleId="Heading4">
    <w:name w:val="heading 4"/>
    <w:basedOn w:val="Normal"/>
    <w:next w:val="Normal"/>
    <w:link w:val="Heading4Char"/>
    <w:uiPriority w:val="9"/>
    <w:semiHidden/>
    <w:qFormat/>
    <w:rsid w:val="00E81523"/>
    <w:pPr>
      <w:outlineLvl w:val="3"/>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593"/>
    <w:rPr>
      <w:color w:val="808080"/>
    </w:rPr>
  </w:style>
  <w:style w:type="character" w:customStyle="1" w:styleId="Heading1Char">
    <w:name w:val="Heading 1 Char"/>
    <w:basedOn w:val="DefaultParagraphFont"/>
    <w:link w:val="Heading1"/>
    <w:uiPriority w:val="9"/>
    <w:semiHidden/>
    <w:rsid w:val="00E25C51"/>
    <w:rPr>
      <w:sz w:val="120"/>
      <w:szCs w:val="120"/>
      <w:lang w:val="mi-NZ"/>
    </w:rPr>
  </w:style>
  <w:style w:type="paragraph" w:styleId="Subtitle">
    <w:name w:val="Subtitle"/>
    <w:basedOn w:val="Normal"/>
    <w:next w:val="Normal"/>
    <w:link w:val="SubtitleChar"/>
    <w:uiPriority w:val="11"/>
    <w:semiHidden/>
    <w:qFormat/>
    <w:rsid w:val="00EA5892"/>
    <w:pPr>
      <w:spacing w:after="920"/>
    </w:pPr>
    <w:rPr>
      <w:sz w:val="46"/>
      <w:szCs w:val="46"/>
      <w:lang w:val="mi-NZ"/>
    </w:rPr>
  </w:style>
  <w:style w:type="character" w:customStyle="1" w:styleId="SubtitleChar">
    <w:name w:val="Subtitle Char"/>
    <w:basedOn w:val="DefaultParagraphFont"/>
    <w:link w:val="Subtitle"/>
    <w:uiPriority w:val="11"/>
    <w:semiHidden/>
    <w:rsid w:val="00E25C51"/>
    <w:rPr>
      <w:sz w:val="46"/>
      <w:szCs w:val="46"/>
      <w:lang w:val="mi-NZ"/>
    </w:rPr>
  </w:style>
  <w:style w:type="paragraph" w:styleId="Date">
    <w:name w:val="Date"/>
    <w:basedOn w:val="Normal"/>
    <w:next w:val="Normal"/>
    <w:link w:val="DateChar"/>
    <w:uiPriority w:val="99"/>
    <w:semiHidden/>
    <w:rsid w:val="00EA5892"/>
    <w:rPr>
      <w:sz w:val="30"/>
      <w:szCs w:val="30"/>
      <w:lang w:val="mi-NZ"/>
    </w:rPr>
  </w:style>
  <w:style w:type="character" w:customStyle="1" w:styleId="DateChar">
    <w:name w:val="Date Char"/>
    <w:basedOn w:val="DefaultParagraphFont"/>
    <w:link w:val="Date"/>
    <w:uiPriority w:val="99"/>
    <w:semiHidden/>
    <w:rsid w:val="00E25C51"/>
    <w:rPr>
      <w:sz w:val="30"/>
      <w:szCs w:val="30"/>
      <w:lang w:val="mi-NZ"/>
    </w:rPr>
  </w:style>
  <w:style w:type="paragraph" w:styleId="Header">
    <w:name w:val="header"/>
    <w:basedOn w:val="Normal"/>
    <w:link w:val="HeaderChar"/>
    <w:uiPriority w:val="99"/>
    <w:semiHidden/>
    <w:rsid w:val="008569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5C51"/>
  </w:style>
  <w:style w:type="paragraph" w:styleId="Footer">
    <w:name w:val="footer"/>
    <w:basedOn w:val="Normal"/>
    <w:link w:val="FooterChar"/>
    <w:uiPriority w:val="99"/>
    <w:semiHidden/>
    <w:rsid w:val="008569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5C51"/>
  </w:style>
  <w:style w:type="table" w:styleId="TableGrid">
    <w:name w:val="Table Grid"/>
    <w:basedOn w:val="TableNormal"/>
    <w:uiPriority w:val="39"/>
    <w:rsid w:val="00FC3ABF"/>
    <w:rPr>
      <w:sz w:val="24"/>
    </w:rPr>
    <w:tblPr>
      <w:tblBorders>
        <w:top w:val="single" w:sz="4" w:space="0" w:color="003E52" w:themeColor="text2"/>
        <w:left w:val="single" w:sz="4" w:space="0" w:color="003E52" w:themeColor="text2"/>
        <w:bottom w:val="single" w:sz="4" w:space="0" w:color="003E52" w:themeColor="text2"/>
        <w:right w:val="single" w:sz="4" w:space="0" w:color="003E52" w:themeColor="text2"/>
        <w:insideH w:val="single" w:sz="4" w:space="0" w:color="003E52" w:themeColor="text2"/>
        <w:insideV w:val="single" w:sz="4" w:space="0" w:color="003E52" w:themeColor="text2"/>
      </w:tblBorders>
      <w:tblCellMar>
        <w:top w:w="113" w:type="dxa"/>
        <w:left w:w="170" w:type="dxa"/>
        <w:bottom w:w="113" w:type="dxa"/>
        <w:right w:w="170" w:type="dxa"/>
      </w:tblCellMar>
    </w:tblPr>
    <w:tcPr>
      <w:shd w:val="clear" w:color="auto" w:fill="auto"/>
      <w:vAlign w:val="center"/>
    </w:tcPr>
    <w:tblStylePr w:type="firstRow">
      <w:rPr>
        <w:rFonts w:asciiTheme="majorHAnsi" w:hAnsiTheme="majorHAnsi"/>
        <w:caps/>
        <w:smallCaps w:val="0"/>
        <w:sz w:val="24"/>
      </w:rPr>
      <w:tblPr/>
      <w:tcPr>
        <w:shd w:val="clear" w:color="auto" w:fill="E1E9EB"/>
      </w:tcPr>
    </w:tblStylePr>
    <w:tblStylePr w:type="lastRow">
      <w:rPr>
        <w:rFonts w:asciiTheme="minorHAnsi" w:hAnsiTheme="minorHAnsi"/>
        <w:sz w:val="22"/>
      </w:rPr>
    </w:tblStylePr>
    <w:tblStylePr w:type="firstCol">
      <w:rPr>
        <w:rFonts w:asciiTheme="majorHAnsi" w:hAnsiTheme="majorHAnsi"/>
        <w:b w:val="0"/>
        <w:sz w:val="24"/>
      </w:rPr>
      <w:tblPr/>
      <w:tcPr>
        <w:shd w:val="clear" w:color="auto" w:fill="E7E9E8" w:themeFill="accent4" w:themeFillTint="1A"/>
      </w:tcPr>
    </w:tblStylePr>
  </w:style>
  <w:style w:type="paragraph" w:styleId="NoSpacing">
    <w:name w:val="No Spacing"/>
    <w:link w:val="NoSpacingChar"/>
    <w:uiPriority w:val="1"/>
    <w:qFormat/>
    <w:rsid w:val="00A44709"/>
    <w:pPr>
      <w:spacing w:after="0" w:line="240" w:lineRule="auto"/>
    </w:pPr>
  </w:style>
  <w:style w:type="paragraph" w:customStyle="1" w:styleId="TableSpacing">
    <w:name w:val="Table Spacing"/>
    <w:basedOn w:val="NoSpacing"/>
    <w:semiHidden/>
    <w:qFormat/>
    <w:rsid w:val="009D3F18"/>
    <w:rPr>
      <w:sz w:val="12"/>
      <w:szCs w:val="12"/>
    </w:rPr>
  </w:style>
  <w:style w:type="paragraph" w:styleId="ListParagraph">
    <w:name w:val="List Paragraph"/>
    <w:aliases w:val="Bulleted List,List Paragraph1,List Paragraph11,Dot pt,F5 List Paragraph,No Spacing1,List Paragraph Char Char Char,Indicator Text,Colorful List - Accent 11,Numbered Para 1,Bullet 1,Párrafo de lista,List Paragraph2,Rec para,L,列出"/>
    <w:basedOn w:val="Normal"/>
    <w:link w:val="ListParagraphChar"/>
    <w:uiPriority w:val="34"/>
    <w:qFormat/>
    <w:rsid w:val="00DD4777"/>
    <w:pPr>
      <w:spacing w:after="0" w:line="240" w:lineRule="auto"/>
      <w:contextualSpacing/>
    </w:pPr>
    <w:rPr>
      <w:sz w:val="24"/>
      <w:szCs w:val="24"/>
    </w:rPr>
  </w:style>
  <w:style w:type="character" w:customStyle="1" w:styleId="Heading2Char">
    <w:name w:val="Heading 2 Char"/>
    <w:basedOn w:val="DefaultParagraphFont"/>
    <w:link w:val="Heading2"/>
    <w:uiPriority w:val="9"/>
    <w:semiHidden/>
    <w:rsid w:val="00E25C51"/>
    <w:rPr>
      <w:b/>
      <w:color w:val="003E52" w:themeColor="text2"/>
      <w:sz w:val="36"/>
      <w:szCs w:val="36"/>
    </w:rPr>
  </w:style>
  <w:style w:type="character" w:customStyle="1" w:styleId="Heading3Char">
    <w:name w:val="Heading 3 Char"/>
    <w:basedOn w:val="DefaultParagraphFont"/>
    <w:link w:val="Heading3"/>
    <w:uiPriority w:val="9"/>
    <w:semiHidden/>
    <w:rsid w:val="00E25C51"/>
    <w:rPr>
      <w:b/>
      <w:caps/>
      <w:sz w:val="24"/>
      <w:szCs w:val="24"/>
    </w:rPr>
  </w:style>
  <w:style w:type="character" w:customStyle="1" w:styleId="Heading4Char">
    <w:name w:val="Heading 4 Char"/>
    <w:basedOn w:val="DefaultParagraphFont"/>
    <w:link w:val="Heading4"/>
    <w:uiPriority w:val="9"/>
    <w:semiHidden/>
    <w:rsid w:val="00E25C51"/>
    <w:rPr>
      <w:rFonts w:asciiTheme="majorHAnsi" w:hAnsiTheme="majorHAnsi"/>
      <w:sz w:val="24"/>
    </w:rPr>
  </w:style>
  <w:style w:type="paragraph" w:customStyle="1" w:styleId="TableBody">
    <w:name w:val="Table Body"/>
    <w:basedOn w:val="Normal"/>
    <w:semiHidden/>
    <w:qFormat/>
    <w:rsid w:val="00DD4777"/>
    <w:pPr>
      <w:spacing w:after="0" w:line="240" w:lineRule="auto"/>
    </w:pPr>
    <w:rPr>
      <w:sz w:val="24"/>
      <w:szCs w:val="24"/>
    </w:rPr>
  </w:style>
  <w:style w:type="paragraph" w:customStyle="1" w:styleId="Bullets">
    <w:name w:val="Bullets"/>
    <w:basedOn w:val="ListParagraph"/>
    <w:semiHidden/>
    <w:qFormat/>
    <w:rsid w:val="00A53602"/>
  </w:style>
  <w:style w:type="paragraph" w:customStyle="1" w:styleId="Subheading1">
    <w:name w:val="Subheading 1"/>
    <w:basedOn w:val="Normal"/>
    <w:semiHidden/>
    <w:qFormat/>
    <w:rsid w:val="00E81523"/>
    <w:pPr>
      <w:spacing w:before="120" w:after="0" w:line="240" w:lineRule="auto"/>
    </w:pPr>
    <w:rPr>
      <w:b/>
      <w:sz w:val="24"/>
    </w:rPr>
  </w:style>
  <w:style w:type="paragraph" w:customStyle="1" w:styleId="Subheading2">
    <w:name w:val="Subheading 2"/>
    <w:basedOn w:val="Normal"/>
    <w:semiHidden/>
    <w:qFormat/>
    <w:rsid w:val="00E81523"/>
    <w:pPr>
      <w:spacing w:after="0" w:line="240" w:lineRule="auto"/>
    </w:pPr>
    <w:rPr>
      <w:i/>
      <w:sz w:val="24"/>
    </w:rPr>
  </w:style>
  <w:style w:type="paragraph" w:customStyle="1" w:styleId="HUDBody">
    <w:name w:val="HUD_Body"/>
    <w:basedOn w:val="Normal"/>
    <w:uiPriority w:val="3"/>
    <w:qFormat/>
    <w:rsid w:val="00E25C51"/>
    <w:rPr>
      <w:sz w:val="24"/>
      <w:szCs w:val="24"/>
    </w:rPr>
  </w:style>
  <w:style w:type="paragraph" w:customStyle="1" w:styleId="CabList">
    <w:name w:val="Cab List"/>
    <w:basedOn w:val="ListParagraph"/>
    <w:uiPriority w:val="4"/>
    <w:qFormat/>
    <w:rsid w:val="00F5585D"/>
    <w:pPr>
      <w:numPr>
        <w:numId w:val="14"/>
      </w:numPr>
      <w:tabs>
        <w:tab w:val="right" w:pos="9214"/>
      </w:tabs>
      <w:spacing w:after="160" w:line="259" w:lineRule="auto"/>
      <w:contextualSpacing w:val="0"/>
    </w:pPr>
    <w:rPr>
      <w:szCs w:val="22"/>
    </w:rPr>
  </w:style>
  <w:style w:type="paragraph" w:customStyle="1" w:styleId="HUDBullets">
    <w:name w:val="HUD_Bullets"/>
    <w:basedOn w:val="Bullets"/>
    <w:uiPriority w:val="4"/>
    <w:qFormat/>
    <w:rsid w:val="00466C43"/>
    <w:pPr>
      <w:numPr>
        <w:numId w:val="24"/>
      </w:numPr>
      <w:spacing w:after="160" w:line="259" w:lineRule="auto"/>
      <w:contextualSpacing w:val="0"/>
    </w:pPr>
  </w:style>
  <w:style w:type="paragraph" w:customStyle="1" w:styleId="HUDSubheading">
    <w:name w:val="HUD_Subheading"/>
    <w:basedOn w:val="Subheading1"/>
    <w:uiPriority w:val="1"/>
    <w:qFormat/>
    <w:rsid w:val="002D0037"/>
    <w:pPr>
      <w:spacing w:before="240" w:after="160" w:line="259" w:lineRule="auto"/>
    </w:pPr>
  </w:style>
  <w:style w:type="paragraph" w:customStyle="1" w:styleId="HUDSubheading2">
    <w:name w:val="HUD_Subheading 2"/>
    <w:basedOn w:val="Subheading2"/>
    <w:uiPriority w:val="2"/>
    <w:qFormat/>
    <w:rsid w:val="00E25C51"/>
    <w:pPr>
      <w:spacing w:after="160" w:line="259" w:lineRule="auto"/>
    </w:pPr>
    <w:rPr>
      <w:szCs w:val="24"/>
    </w:rPr>
  </w:style>
  <w:style w:type="paragraph" w:customStyle="1" w:styleId="HUDHeading">
    <w:name w:val="HUD_Heading"/>
    <w:basedOn w:val="Heading3"/>
    <w:qFormat/>
    <w:rsid w:val="00E25C51"/>
  </w:style>
  <w:style w:type="paragraph" w:customStyle="1" w:styleId="HUDTitle">
    <w:name w:val="HUD_Title"/>
    <w:basedOn w:val="Heading2"/>
    <w:qFormat/>
    <w:rsid w:val="00E25C51"/>
  </w:style>
  <w:style w:type="paragraph" w:customStyle="1" w:styleId="HUDIndented">
    <w:name w:val="HUD_Indented"/>
    <w:basedOn w:val="HUDBody"/>
    <w:uiPriority w:val="3"/>
    <w:qFormat/>
    <w:rsid w:val="00E25C51"/>
    <w:pPr>
      <w:ind w:left="426"/>
    </w:pPr>
  </w:style>
  <w:style w:type="paragraph" w:customStyle="1" w:styleId="HUDCaption">
    <w:name w:val="HUD_Caption"/>
    <w:basedOn w:val="Normal"/>
    <w:uiPriority w:val="5"/>
    <w:qFormat/>
    <w:rsid w:val="00FC3ABF"/>
    <w:rPr>
      <w:i/>
      <w:color w:val="003E52" w:themeColor="text2"/>
    </w:rPr>
  </w:style>
  <w:style w:type="paragraph" w:styleId="FootnoteText">
    <w:name w:val="footnote text"/>
    <w:basedOn w:val="Normal"/>
    <w:link w:val="FootnoteTextChar"/>
    <w:uiPriority w:val="99"/>
    <w:rsid w:val="00FC3ABF"/>
    <w:pPr>
      <w:spacing w:after="0" w:line="240" w:lineRule="auto"/>
    </w:pPr>
    <w:rPr>
      <w:sz w:val="19"/>
      <w:szCs w:val="20"/>
    </w:rPr>
  </w:style>
  <w:style w:type="character" w:customStyle="1" w:styleId="FootnoteTextChar">
    <w:name w:val="Footnote Text Char"/>
    <w:basedOn w:val="DefaultParagraphFont"/>
    <w:link w:val="FootnoteText"/>
    <w:uiPriority w:val="99"/>
    <w:rsid w:val="00FC3ABF"/>
    <w:rPr>
      <w:sz w:val="19"/>
      <w:szCs w:val="20"/>
    </w:rPr>
  </w:style>
  <w:style w:type="character" w:styleId="FootnoteReference">
    <w:name w:val="footnote reference"/>
    <w:basedOn w:val="DefaultParagraphFont"/>
    <w:uiPriority w:val="99"/>
    <w:rsid w:val="00FC3ABF"/>
    <w:rPr>
      <w:color w:val="003E52" w:themeColor="text2"/>
      <w:vertAlign w:val="superscript"/>
    </w:rPr>
  </w:style>
  <w:style w:type="paragraph" w:customStyle="1" w:styleId="HUDRecommended">
    <w:name w:val="HUD_Recommended"/>
    <w:basedOn w:val="CabList"/>
    <w:uiPriority w:val="4"/>
    <w:qFormat/>
    <w:rsid w:val="003E546A"/>
    <w:pPr>
      <w:numPr>
        <w:numId w:val="16"/>
      </w:numPr>
    </w:pPr>
  </w:style>
  <w:style w:type="numbering" w:customStyle="1" w:styleId="HUDR">
    <w:name w:val="HUD_R"/>
    <w:uiPriority w:val="99"/>
    <w:rsid w:val="003E546A"/>
    <w:pPr>
      <w:numPr>
        <w:numId w:val="16"/>
      </w:numPr>
    </w:pPr>
  </w:style>
  <w:style w:type="numbering" w:customStyle="1" w:styleId="HUDL">
    <w:name w:val="HUD_L"/>
    <w:uiPriority w:val="99"/>
    <w:rsid w:val="00F5585D"/>
    <w:pPr>
      <w:numPr>
        <w:numId w:val="17"/>
      </w:numPr>
    </w:pPr>
  </w:style>
  <w:style w:type="character" w:customStyle="1" w:styleId="HUDNotes">
    <w:name w:val="HUD_Notes"/>
    <w:basedOn w:val="DefaultParagraphFont"/>
    <w:uiPriority w:val="1"/>
    <w:qFormat/>
    <w:rsid w:val="00FC3ABF"/>
    <w:rPr>
      <w:i/>
    </w:rPr>
  </w:style>
  <w:style w:type="paragraph" w:customStyle="1" w:styleId="HUDList">
    <w:name w:val="HUD_List"/>
    <w:basedOn w:val="ListParagraph"/>
    <w:uiPriority w:val="4"/>
    <w:qFormat/>
    <w:rsid w:val="002D0037"/>
    <w:pPr>
      <w:numPr>
        <w:numId w:val="31"/>
      </w:numPr>
      <w:spacing w:after="160" w:line="259" w:lineRule="auto"/>
      <w:contextualSpacing w:val="0"/>
    </w:pPr>
    <w:rPr>
      <w:szCs w:val="22"/>
    </w:rPr>
  </w:style>
  <w:style w:type="character" w:customStyle="1" w:styleId="NoSpacingChar">
    <w:name w:val="No Spacing Char"/>
    <w:basedOn w:val="DefaultParagraphFont"/>
    <w:link w:val="NoSpacing"/>
    <w:uiPriority w:val="1"/>
    <w:rsid w:val="00F86AEF"/>
  </w:style>
  <w:style w:type="character" w:customStyle="1" w:styleId="ListParagraphChar">
    <w:name w:val="List Paragraph Char"/>
    <w:aliases w:val="Bulleted List Char,List Paragraph1 Char,List Paragraph11 Char,Dot pt Char,F5 List Paragraph Char,No Spacing1 Char,List Paragraph Char Char Char Char,Indicator Text Char,Colorful List - Accent 11 Char,Numbered Para 1 Char,L Char"/>
    <w:basedOn w:val="DefaultParagraphFont"/>
    <w:link w:val="ListParagraph"/>
    <w:uiPriority w:val="34"/>
    <w:qFormat/>
    <w:locked/>
    <w:rsid w:val="00F86AEF"/>
    <w:rPr>
      <w:sz w:val="24"/>
      <w:szCs w:val="24"/>
    </w:rPr>
  </w:style>
  <w:style w:type="character" w:styleId="Hyperlink">
    <w:name w:val="Hyperlink"/>
    <w:basedOn w:val="DefaultParagraphFont"/>
    <w:uiPriority w:val="99"/>
    <w:unhideWhenUsed/>
    <w:rsid w:val="003F0E26"/>
    <w:rPr>
      <w:color w:val="FCD192" w:themeColor="hyperlink"/>
      <w:u w:val="single"/>
    </w:rPr>
  </w:style>
  <w:style w:type="character" w:styleId="UnresolvedMention">
    <w:name w:val="Unresolved Mention"/>
    <w:basedOn w:val="DefaultParagraphFont"/>
    <w:uiPriority w:val="99"/>
    <w:semiHidden/>
    <w:unhideWhenUsed/>
    <w:rsid w:val="003F0E26"/>
    <w:rPr>
      <w:color w:val="605E5C"/>
      <w:shd w:val="clear" w:color="auto" w:fill="E1DFDD"/>
    </w:rPr>
  </w:style>
  <w:style w:type="character" w:styleId="CommentReference">
    <w:name w:val="annotation reference"/>
    <w:basedOn w:val="DefaultParagraphFont"/>
    <w:uiPriority w:val="99"/>
    <w:semiHidden/>
    <w:unhideWhenUsed/>
    <w:rsid w:val="00A648EC"/>
    <w:rPr>
      <w:sz w:val="16"/>
      <w:szCs w:val="16"/>
    </w:rPr>
  </w:style>
  <w:style w:type="paragraph" w:styleId="CommentText">
    <w:name w:val="annotation text"/>
    <w:basedOn w:val="Normal"/>
    <w:link w:val="CommentTextChar"/>
    <w:uiPriority w:val="99"/>
    <w:unhideWhenUsed/>
    <w:rsid w:val="00A648EC"/>
    <w:pPr>
      <w:spacing w:line="240" w:lineRule="auto"/>
    </w:pPr>
    <w:rPr>
      <w:sz w:val="20"/>
      <w:szCs w:val="20"/>
    </w:rPr>
  </w:style>
  <w:style w:type="character" w:customStyle="1" w:styleId="CommentTextChar">
    <w:name w:val="Comment Text Char"/>
    <w:basedOn w:val="DefaultParagraphFont"/>
    <w:link w:val="CommentText"/>
    <w:uiPriority w:val="99"/>
    <w:rsid w:val="00A648EC"/>
    <w:rPr>
      <w:sz w:val="20"/>
      <w:szCs w:val="20"/>
    </w:rPr>
  </w:style>
  <w:style w:type="paragraph" w:styleId="CommentSubject">
    <w:name w:val="annotation subject"/>
    <w:basedOn w:val="CommentText"/>
    <w:next w:val="CommentText"/>
    <w:link w:val="CommentSubjectChar"/>
    <w:uiPriority w:val="99"/>
    <w:semiHidden/>
    <w:unhideWhenUsed/>
    <w:rsid w:val="00A648EC"/>
    <w:rPr>
      <w:b/>
      <w:bCs/>
    </w:rPr>
  </w:style>
  <w:style w:type="character" w:customStyle="1" w:styleId="CommentSubjectChar">
    <w:name w:val="Comment Subject Char"/>
    <w:basedOn w:val="CommentTextChar"/>
    <w:link w:val="CommentSubject"/>
    <w:uiPriority w:val="99"/>
    <w:semiHidden/>
    <w:rsid w:val="00A648EC"/>
    <w:rPr>
      <w:b/>
      <w:bCs/>
      <w:sz w:val="20"/>
      <w:szCs w:val="20"/>
    </w:rPr>
  </w:style>
  <w:style w:type="paragraph" w:styleId="Revision">
    <w:name w:val="Revision"/>
    <w:hidden/>
    <w:uiPriority w:val="99"/>
    <w:semiHidden/>
    <w:rsid w:val="001A1EC1"/>
    <w:pPr>
      <w:spacing w:after="0" w:line="240" w:lineRule="auto"/>
    </w:pPr>
  </w:style>
  <w:style w:type="character" w:styleId="FollowedHyperlink">
    <w:name w:val="FollowedHyperlink"/>
    <w:basedOn w:val="DefaultParagraphFont"/>
    <w:uiPriority w:val="99"/>
    <w:semiHidden/>
    <w:rsid w:val="00392647"/>
    <w:rPr>
      <w:color w:val="DF88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8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ird.govt.nz/property-interest-ru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t.nz/act/public/1986/0120/latest/LMS451310.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tenancy.govt.nz"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govt.nz/act/public/1986/0120/latest/LMS451308.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TR@hud.govt.nz"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hud.govt.nz/our-work/build-to-rent/" TargetMode="External"/><Relationship Id="rId10" Type="http://schemas.openxmlformats.org/officeDocument/2006/relationships/webSettings" Target="webSettings.xml"/><Relationship Id="rId19" Type="http://schemas.openxmlformats.org/officeDocument/2006/relationships/hyperlink" Target="https://www.legislation.govt.nz/act/public/1986/0120/latest/DLM9509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legislation.govt.nz/act/public/1986/0120/latest/LMS451310.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aker\OneDrive%20-%20Ministry%20of%20Housing%20and%20Urban%20Development\Desktop\Tenant%20and%20provider%20guidance.dotx" TargetMode="External"/></Relationships>
</file>

<file path=word/theme/theme1.xml><?xml version="1.0" encoding="utf-8"?>
<a:theme xmlns:a="http://schemas.openxmlformats.org/drawingml/2006/main" name="Office Theme">
  <a:themeElements>
    <a:clrScheme name="HUD">
      <a:dk1>
        <a:sysClr val="windowText" lastClr="000000"/>
      </a:dk1>
      <a:lt1>
        <a:sysClr val="window" lastClr="FFFFFF"/>
      </a:lt1>
      <a:dk2>
        <a:srgbClr val="003E52"/>
      </a:dk2>
      <a:lt2>
        <a:srgbClr val="FFC04A"/>
      </a:lt2>
      <a:accent1>
        <a:srgbClr val="62B6F3"/>
      </a:accent1>
      <a:accent2>
        <a:srgbClr val="00826E"/>
      </a:accent2>
      <a:accent3>
        <a:srgbClr val="A4343E"/>
      </a:accent3>
      <a:accent4>
        <a:srgbClr val="222423"/>
      </a:accent4>
      <a:accent5>
        <a:srgbClr val="E1E9EB"/>
      </a:accent5>
      <a:accent6>
        <a:srgbClr val="00C48D"/>
      </a:accent6>
      <a:hlink>
        <a:srgbClr val="FCD192"/>
      </a:hlink>
      <a:folHlink>
        <a:srgbClr val="DF8881"/>
      </a:folHlink>
    </a:clrScheme>
    <a:fontScheme name="HUD_System">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CEF12687A23DF04C9285E4F5D98648780047823B7DD00B4346AB72ACF35EE77628" ma:contentTypeVersion="33" ma:contentTypeDescription="Create a new document." ma:contentTypeScope="" ma:versionID="fd044898a35a6103029119af5337f019">
  <xsd:schema xmlns:xsd="http://www.w3.org/2001/XMLSchema" xmlns:xs="http://www.w3.org/2001/XMLSchema" xmlns:p="http://schemas.microsoft.com/office/2006/metadata/properties" xmlns:ns2="9da600a7-27fd-43ea-8cef-f13e8bd432ff" xmlns:ns3="4f9c820c-e7e2-444d-97ee-45f2b3485c1d" xmlns:ns4="97c71325-65b9-4833-a997-d05ab51373a7" xmlns:ns6="30b082bd-9b1c-4452-8095-add995b1ed6c" xmlns:ns7="ed659210-6f09-476f-9ea1-b89573c47b0b" targetNamespace="http://schemas.microsoft.com/office/2006/metadata/properties" ma:root="true" ma:fieldsID="a2198795f6561aad47df4ecf99ab542d" ns2:_="" ns3:_="" ns4:_="" ns6:_="" ns7:_="">
    <xsd:import namespace="9da600a7-27fd-43ea-8cef-f13e8bd432ff"/>
    <xsd:import namespace="4f9c820c-e7e2-444d-97ee-45f2b3485c1d"/>
    <xsd:import namespace="97c71325-65b9-4833-a997-d05ab51373a7"/>
    <xsd:import namespace="30b082bd-9b1c-4452-8095-add995b1ed6c"/>
    <xsd:import namespace="ed659210-6f09-476f-9ea1-b89573c47b0b"/>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MediaServiceMetadata" minOccurs="0"/>
                <xsd:element ref="ns6:MediaServiceFastMetadata"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Approval Status" ma:format="RadioButtons" ma:internalName="CategoryName" ma:readOnly="false">
      <xsd:simpleType>
        <xsd:restriction base="dms:Choice">
          <xsd:enumeration value="Draft"/>
          <xsd:enumeration value="Final"/>
          <xsd:enumeration value="Released"/>
        </xsd:restriction>
      </xsd:simpleType>
    </xsd:element>
    <xsd:element name="Case" ma:index="13" nillable="true" ma:displayName="Case" ma:default="Engagement"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Policy development" ma:hidden="true" ma:internalName="Function" ma:readOnly="false">
      <xsd:simpleType>
        <xsd:restriction base="dms:Text">
          <xsd:maxLength value="255"/>
        </xsd:restriction>
      </xsd:simpleType>
    </xsd:element>
    <xsd:element name="Activity" ma:index="29" nillable="true" ma:displayName="Activity" ma:default="Project" ma:hidden="true" ma:internalName="Activity" ma:readOnly="false">
      <xsd:simpleType>
        <xsd:restriction base="dms:Text">
          <xsd:maxLength value="255"/>
        </xsd:restriction>
      </xsd:simpleType>
    </xsd:element>
    <xsd:element name="Subactivity" ma:index="30" nillable="true" ma:displayName="Subactivity" ma:default="Build-to-rent"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082bd-9b1c-4452-8095-add995b1ed6c"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210-6f09-476f-9ea1-b89573c47b0b"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Build-to-rent</Subactivity>
    <PRADate3 xmlns="4f9c820c-e7e2-444d-97ee-45f2b3485c1d" xsi:nil="true"/>
    <PRAText5 xmlns="4f9c820c-e7e2-444d-97ee-45f2b3485c1d" xsi:nil="true"/>
    <Activity xmlns="4f9c820c-e7e2-444d-97ee-45f2b3485c1d">Project</Activity>
    <PRADate2 xmlns="4f9c820c-e7e2-444d-97ee-45f2b3485c1d" xsi:nil="true"/>
    <Case xmlns="4f9c820c-e7e2-444d-97ee-45f2b3485c1d">Engagement</Case>
    <PRAText1 xmlns="4f9c820c-e7e2-444d-97ee-45f2b3485c1d" xsi:nil="true"/>
    <PRAText4 xmlns="4f9c820c-e7e2-444d-97ee-45f2b3485c1d" xsi:nil="true"/>
    <Year xmlns="9da600a7-27fd-43ea-8cef-f13e8bd432ff" xsi:nil="true"/>
    <Project xmlns="97c71325-65b9-4833-a997-d05ab51373a7" xsi:nil="true"/>
    <Function xmlns="4f9c820c-e7e2-444d-97ee-45f2b3485c1d">Policy development</Function>
    <PRAType xmlns="4f9c820c-e7e2-444d-97ee-45f2b3485c1d">Doc</PRAType>
    <PRADate1 xmlns="4f9c820c-e7e2-444d-97ee-45f2b3485c1d" xsi:nil="true"/>
    <PRAText3 xmlns="4f9c820c-e7e2-444d-97ee-45f2b3485c1d"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B61FAF-EF60-4948-AE35-88E1D2F4D721}">
  <ds:schemaRefs>
    <ds:schemaRef ds:uri="http://schemas.openxmlformats.org/officeDocument/2006/bibliography"/>
  </ds:schemaRefs>
</ds:datastoreItem>
</file>

<file path=customXml/itemProps3.xml><?xml version="1.0" encoding="utf-8"?>
<ds:datastoreItem xmlns:ds="http://schemas.openxmlformats.org/officeDocument/2006/customXml" ds:itemID="{DCDF3A64-DE6D-4E6A-9207-C720F76A9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30b082bd-9b1c-4452-8095-add995b1ed6c"/>
    <ds:schemaRef ds:uri="ed659210-6f09-476f-9ea1-b89573c47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3F1BF-6E9B-4942-A43C-A5477FB90887}">
  <ds:schemaRefs>
    <ds:schemaRef ds:uri="http://schemas.microsoft.com/sharepoint/v3/contenttype/forms"/>
  </ds:schemaRefs>
</ds:datastoreItem>
</file>

<file path=customXml/itemProps5.xml><?xml version="1.0" encoding="utf-8"?>
<ds:datastoreItem xmlns:ds="http://schemas.openxmlformats.org/officeDocument/2006/customXml" ds:itemID="{CA4B444B-A547-402D-8C11-32EF30C04930}">
  <ds:schemaRefs>
    <ds:schemaRef ds:uri="http://schemas.microsoft.com/sharepoint/events"/>
  </ds:schemaRefs>
</ds:datastoreItem>
</file>

<file path=customXml/itemProps6.xml><?xml version="1.0" encoding="utf-8"?>
<ds:datastoreItem xmlns:ds="http://schemas.openxmlformats.org/officeDocument/2006/customXml" ds:itemID="{58D4D606-DA10-4976-9D96-26DBF8D01CEB}">
  <ds:schemaRefs>
    <ds:schemaRef ds:uri="http://schemas.microsoft.com/office/2006/metadata/properties"/>
    <ds:schemaRef ds:uri="http://schemas.microsoft.com/office/infopath/2007/PartnerControls"/>
    <ds:schemaRef ds:uri="9da600a7-27fd-43ea-8cef-f13e8bd432ff"/>
    <ds:schemaRef ds:uri="4f9c820c-e7e2-444d-97ee-45f2b3485c1d"/>
    <ds:schemaRef ds:uri="97c71325-65b9-4833-a997-d05ab51373a7"/>
  </ds:schemaRefs>
</ds:datastoreItem>
</file>

<file path=docMetadata/LabelInfo.xml><?xml version="1.0" encoding="utf-8"?>
<clbl:labelList xmlns:clbl="http://schemas.microsoft.com/office/2020/mipLabelMetadata">
  <clbl:label id="{14c3db6d-cfd0-4832-972f-4b6726d3a31d}" enabled="1" method="Privileged" siteId="{9e9b3020-3d38-48a6-9064-373bc7b156dc}" contentBits="2" removed="0"/>
</clbl:labelList>
</file>

<file path=docProps/app.xml><?xml version="1.0" encoding="utf-8"?>
<Properties xmlns="http://schemas.openxmlformats.org/officeDocument/2006/extended-properties" xmlns:vt="http://schemas.openxmlformats.org/officeDocument/2006/docPropsVTypes">
  <Template>Tenant and provider guidance</Template>
  <TotalTime>2</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Build-to-rent</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Build-to-rent</dc:title>
  <dc:subject>Exclusion from interest limitation rules</dc:subject>
  <dc:creator>Michelle  Baker</dc:creator>
  <cp:keywords>Guidance for build-to-rent tenants and providers</cp:keywords>
  <dc:description>[Security level]</dc:description>
  <cp:lastModifiedBy>Michelle  Baker</cp:lastModifiedBy>
  <cp:revision>1</cp:revision>
  <dcterms:created xsi:type="dcterms:W3CDTF">2023-03-29T23:22:00Z</dcterms:created>
  <dcterms:modified xsi:type="dcterms:W3CDTF">2023-03-29T23:24:00Z</dcterms:modified>
  <cp:category>Tracking number</cp:category>
  <cp:contentStatus>[SUBJECT/ GROUP BEING MET WITH, 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0x010100CEF12687A23DF04C9285E4F5D98648780047823B7DD00B4346AB72ACF35EE77628</vt:lpwstr>
  </property>
  <property fmtid="{D5CDD505-2E9C-101B-9397-08002B2CF9AE}" pid="3" name="_dlc_DocIdItemGuid">
    <vt:lpwstr>9f6c29f4-897b-45ab-be40-6f53fb603648</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[IN-CONFIDENCE]</vt:lpwstr>
  </property>
  <property fmtid="{D5CDD505-2E9C-101B-9397-08002B2CF9AE}" pid="7" name="_dlc_DocId">
    <vt:lpwstr>T2RFNZPDHDQZ-1486055768-184</vt:lpwstr>
  </property>
  <property fmtid="{D5CDD505-2E9C-101B-9397-08002B2CF9AE}" pid="8" name="_dlc_DocIdUrl">
    <vt:lpwstr>https://mhud.sharepoint.com/sites/pol2020624145212/_layouts/15/DocIdRedir.aspx?ID=T2RFNZPDHDQZ-1486055768-184, T2RFNZPDHDQZ-1486055768-184</vt:lpwstr>
  </property>
</Properties>
</file>